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38053" w14:textId="77777777" w:rsidR="00C67D18" w:rsidRPr="00805294" w:rsidRDefault="002D5EF3" w:rsidP="00990839">
      <w:pPr>
        <w:jc w:val="center"/>
        <w:rPr>
          <w:rFonts w:ascii="Times New Roman" w:hAnsi="Times New Roman" w:cs="Times New Roman"/>
          <w:b/>
          <w:sz w:val="24"/>
          <w:szCs w:val="24"/>
        </w:rPr>
      </w:pPr>
      <w:r w:rsidRPr="00805294">
        <w:rPr>
          <w:rFonts w:ascii="Times New Roman" w:hAnsi="Times New Roman" w:cs="Times New Roman"/>
          <w:b/>
          <w:sz w:val="24"/>
          <w:szCs w:val="24"/>
        </w:rPr>
        <w:t>ADVERSE POSSESSION</w:t>
      </w:r>
    </w:p>
    <w:p w14:paraId="13AED861" w14:textId="77777777" w:rsidR="00990839" w:rsidRPr="00805294" w:rsidRDefault="00990839" w:rsidP="00990839">
      <w:pPr>
        <w:spacing w:after="0" w:line="240" w:lineRule="auto"/>
        <w:jc w:val="center"/>
        <w:rPr>
          <w:rFonts w:ascii="Times New Roman" w:hAnsi="Times New Roman" w:cs="Times New Roman"/>
          <w:i/>
          <w:sz w:val="24"/>
          <w:szCs w:val="24"/>
        </w:rPr>
      </w:pPr>
      <w:r w:rsidRPr="00805294">
        <w:rPr>
          <w:rFonts w:ascii="Times New Roman" w:hAnsi="Times New Roman" w:cs="Times New Roman"/>
          <w:i/>
          <w:sz w:val="24"/>
          <w:szCs w:val="24"/>
        </w:rPr>
        <w:t>Troy R. Covington</w:t>
      </w:r>
      <w:r w:rsidR="008B125A">
        <w:rPr>
          <w:rFonts w:ascii="Times New Roman" w:hAnsi="Times New Roman" w:cs="Times New Roman"/>
          <w:i/>
          <w:sz w:val="24"/>
          <w:szCs w:val="24"/>
        </w:rPr>
        <w:t xml:space="preserve"> and Shannan F. Oliver</w:t>
      </w:r>
      <w:r w:rsidR="009704AD" w:rsidRPr="00805294">
        <w:rPr>
          <w:rStyle w:val="FootnoteReference"/>
          <w:rFonts w:ascii="Times New Roman" w:hAnsi="Times New Roman" w:cs="Times New Roman"/>
          <w:i/>
          <w:sz w:val="24"/>
          <w:szCs w:val="24"/>
        </w:rPr>
        <w:footnoteReference w:id="1"/>
      </w:r>
    </w:p>
    <w:p w14:paraId="47D2DD8F" w14:textId="77777777" w:rsidR="004D34E2" w:rsidRDefault="004D34E2" w:rsidP="000975F8">
      <w:pPr>
        <w:spacing w:after="0" w:line="480" w:lineRule="auto"/>
        <w:ind w:firstLine="720"/>
        <w:jc w:val="both"/>
        <w:rPr>
          <w:rFonts w:ascii="Times New Roman" w:hAnsi="Times New Roman" w:cs="Times New Roman"/>
          <w:i/>
          <w:sz w:val="24"/>
          <w:szCs w:val="24"/>
        </w:rPr>
      </w:pPr>
    </w:p>
    <w:p w14:paraId="3485F62F" w14:textId="20BE83CC" w:rsidR="002148D1" w:rsidRPr="00805294" w:rsidRDefault="002148D1" w:rsidP="000975F8">
      <w:pPr>
        <w:spacing w:after="0" w:line="480" w:lineRule="auto"/>
        <w:ind w:firstLine="720"/>
        <w:jc w:val="both"/>
        <w:rPr>
          <w:rFonts w:ascii="Times New Roman" w:hAnsi="Times New Roman" w:cs="Times New Roman"/>
          <w:sz w:val="24"/>
          <w:szCs w:val="24"/>
        </w:rPr>
      </w:pPr>
      <w:r w:rsidRPr="00805294">
        <w:rPr>
          <w:rFonts w:ascii="Times New Roman" w:hAnsi="Times New Roman" w:cs="Times New Roman"/>
          <w:sz w:val="24"/>
          <w:szCs w:val="24"/>
        </w:rPr>
        <w:t>The concept of s</w:t>
      </w:r>
      <w:r w:rsidR="001912F0" w:rsidRPr="00805294">
        <w:rPr>
          <w:rFonts w:ascii="Times New Roman" w:hAnsi="Times New Roman" w:cs="Times New Roman"/>
          <w:sz w:val="24"/>
          <w:szCs w:val="24"/>
        </w:rPr>
        <w:t>quat</w:t>
      </w:r>
      <w:r w:rsidRPr="00805294">
        <w:rPr>
          <w:rFonts w:ascii="Times New Roman" w:hAnsi="Times New Roman" w:cs="Times New Roman"/>
          <w:sz w:val="24"/>
          <w:szCs w:val="24"/>
        </w:rPr>
        <w:t>t</w:t>
      </w:r>
      <w:r w:rsidR="001912F0" w:rsidRPr="00805294">
        <w:rPr>
          <w:rFonts w:ascii="Times New Roman" w:hAnsi="Times New Roman" w:cs="Times New Roman"/>
          <w:sz w:val="24"/>
          <w:szCs w:val="24"/>
        </w:rPr>
        <w:t xml:space="preserve">er’s rights might seem like an antiquated notion, but </w:t>
      </w:r>
      <w:r w:rsidRPr="00805294">
        <w:rPr>
          <w:rFonts w:ascii="Times New Roman" w:hAnsi="Times New Roman" w:cs="Times New Roman"/>
          <w:sz w:val="24"/>
          <w:szCs w:val="24"/>
        </w:rPr>
        <w:t xml:space="preserve">the law continues to recognize adverse possession as a method by which one may obtain legal title to property. This article examines the criteria to establish title by adverse possession.  </w:t>
      </w:r>
    </w:p>
    <w:p w14:paraId="12422E63" w14:textId="77777777" w:rsidR="000975F8" w:rsidRPr="00805294" w:rsidRDefault="000975F8" w:rsidP="000975F8">
      <w:pPr>
        <w:spacing w:after="0" w:line="480" w:lineRule="auto"/>
        <w:ind w:firstLine="720"/>
        <w:jc w:val="both"/>
        <w:rPr>
          <w:rFonts w:ascii="Times New Roman" w:hAnsi="Times New Roman" w:cs="Times New Roman"/>
          <w:sz w:val="24"/>
          <w:szCs w:val="24"/>
        </w:rPr>
      </w:pPr>
      <w:r w:rsidRPr="00805294">
        <w:rPr>
          <w:rFonts w:ascii="Times New Roman" w:hAnsi="Times New Roman" w:cs="Times New Roman"/>
          <w:sz w:val="24"/>
          <w:szCs w:val="24"/>
        </w:rPr>
        <w:t>“The burden of establishing prescriptive title lies on the party claiming it.”</w:t>
      </w:r>
      <w:r w:rsidR="00D92728" w:rsidRPr="00805294">
        <w:rPr>
          <w:rStyle w:val="FootnoteReference"/>
          <w:rFonts w:ascii="Times New Roman" w:hAnsi="Times New Roman" w:cs="Times New Roman"/>
          <w:sz w:val="24"/>
          <w:szCs w:val="24"/>
        </w:rPr>
        <w:footnoteReference w:id="2"/>
      </w:r>
      <w:r w:rsidRPr="00805294">
        <w:rPr>
          <w:rFonts w:ascii="Times New Roman" w:hAnsi="Times New Roman" w:cs="Times New Roman"/>
          <w:sz w:val="24"/>
          <w:szCs w:val="24"/>
        </w:rPr>
        <w:t xml:space="preserve">    In order for possession to be the foundation of prescriptive title, it: “(1) Must be in the right of the possessor and not of another; (2) Must not have originated in fraud except as provided in Code Section 44-5-162; (3) Must be public, continuous, exclusive, uninterrupted, and peaceable; and (4) Must be acc</w:t>
      </w:r>
      <w:r w:rsidR="00772DBC" w:rsidRPr="00805294">
        <w:rPr>
          <w:rFonts w:ascii="Times New Roman" w:hAnsi="Times New Roman" w:cs="Times New Roman"/>
          <w:sz w:val="24"/>
          <w:szCs w:val="24"/>
        </w:rPr>
        <w:t>ompanied by a claim of right.”</w:t>
      </w:r>
      <w:r w:rsidR="00772DBC" w:rsidRPr="00805294">
        <w:rPr>
          <w:rStyle w:val="FootnoteReference"/>
          <w:rFonts w:ascii="Times New Roman" w:hAnsi="Times New Roman" w:cs="Times New Roman"/>
          <w:sz w:val="24"/>
          <w:szCs w:val="24"/>
        </w:rPr>
        <w:footnoteReference w:id="3"/>
      </w:r>
      <w:r w:rsidR="00772DBC" w:rsidRPr="00805294">
        <w:rPr>
          <w:rFonts w:ascii="Times New Roman" w:hAnsi="Times New Roman" w:cs="Times New Roman"/>
          <w:sz w:val="24"/>
          <w:szCs w:val="24"/>
        </w:rPr>
        <w:t xml:space="preserve">  </w:t>
      </w:r>
      <w:r w:rsidRPr="00805294">
        <w:rPr>
          <w:rFonts w:ascii="Times New Roman" w:hAnsi="Times New Roman" w:cs="Times New Roman"/>
          <w:sz w:val="24"/>
          <w:szCs w:val="24"/>
        </w:rPr>
        <w:t>“Prescriptive rights are to be strictly construed, and the prescriber must give some notice, actual or constructive, to the landowner he or she intends to prescribe against.”</w:t>
      </w:r>
      <w:r w:rsidR="00772DBC" w:rsidRPr="00805294">
        <w:rPr>
          <w:rStyle w:val="FootnoteReference"/>
          <w:rFonts w:ascii="Times New Roman" w:hAnsi="Times New Roman" w:cs="Times New Roman"/>
          <w:sz w:val="24"/>
          <w:szCs w:val="24"/>
        </w:rPr>
        <w:footnoteReference w:id="4"/>
      </w:r>
      <w:r w:rsidRPr="00805294">
        <w:rPr>
          <w:rFonts w:ascii="Times New Roman" w:hAnsi="Times New Roman" w:cs="Times New Roman"/>
          <w:sz w:val="24"/>
          <w:szCs w:val="24"/>
        </w:rPr>
        <w:t xml:space="preserve">  </w:t>
      </w:r>
    </w:p>
    <w:p w14:paraId="0FFA401E" w14:textId="77777777" w:rsidR="000975F8" w:rsidRPr="00805294" w:rsidRDefault="000975F8" w:rsidP="000975F8">
      <w:pPr>
        <w:spacing w:after="0" w:line="480" w:lineRule="auto"/>
        <w:ind w:firstLine="720"/>
        <w:jc w:val="both"/>
        <w:rPr>
          <w:rFonts w:ascii="Times New Roman" w:hAnsi="Times New Roman" w:cs="Times New Roman"/>
          <w:sz w:val="24"/>
          <w:szCs w:val="24"/>
        </w:rPr>
      </w:pPr>
      <w:r w:rsidRPr="00805294">
        <w:rPr>
          <w:rFonts w:ascii="Times New Roman" w:hAnsi="Times New Roman" w:cs="Times New Roman"/>
          <w:sz w:val="24"/>
          <w:szCs w:val="24"/>
        </w:rPr>
        <w:t>“While courts delineate what facts are sufficient to constitute adverse possession, whether such facts exist</w:t>
      </w:r>
      <w:r w:rsidR="00772DBC" w:rsidRPr="00805294">
        <w:rPr>
          <w:rFonts w:ascii="Times New Roman" w:hAnsi="Times New Roman" w:cs="Times New Roman"/>
          <w:sz w:val="24"/>
          <w:szCs w:val="24"/>
        </w:rPr>
        <w:t xml:space="preserve"> is generally a jury question.”</w:t>
      </w:r>
      <w:r w:rsidR="00772DBC" w:rsidRPr="00805294">
        <w:rPr>
          <w:rStyle w:val="FootnoteReference"/>
          <w:rFonts w:ascii="Times New Roman" w:hAnsi="Times New Roman" w:cs="Times New Roman"/>
          <w:sz w:val="24"/>
          <w:szCs w:val="24"/>
        </w:rPr>
        <w:footnoteReference w:id="5"/>
      </w:r>
      <w:r w:rsidRPr="00805294">
        <w:rPr>
          <w:rFonts w:ascii="Times New Roman" w:hAnsi="Times New Roman" w:cs="Times New Roman"/>
          <w:sz w:val="24"/>
          <w:szCs w:val="24"/>
        </w:rPr>
        <w:t xml:space="preserve"> </w:t>
      </w:r>
      <w:r w:rsidR="00772DBC" w:rsidRPr="00805294">
        <w:rPr>
          <w:rFonts w:ascii="Times New Roman" w:hAnsi="Times New Roman" w:cs="Times New Roman"/>
          <w:sz w:val="24"/>
          <w:szCs w:val="24"/>
        </w:rPr>
        <w:t xml:space="preserve"> </w:t>
      </w:r>
      <w:r w:rsidRPr="00805294">
        <w:rPr>
          <w:rFonts w:ascii="Times New Roman" w:hAnsi="Times New Roman" w:cs="Times New Roman"/>
          <w:sz w:val="24"/>
          <w:szCs w:val="24"/>
        </w:rPr>
        <w:t>“A trial court is not justified in directing a verdict as to an adverse possession defense when there is some evidence or fact which could possibly support a jury’s findings as to the elements of prescription under O.C.G.A. § 44-5-161.”</w:t>
      </w:r>
      <w:r w:rsidR="00772DBC" w:rsidRPr="00805294">
        <w:rPr>
          <w:rStyle w:val="FootnoteReference"/>
          <w:rFonts w:ascii="Times New Roman" w:hAnsi="Times New Roman" w:cs="Times New Roman"/>
          <w:sz w:val="24"/>
          <w:szCs w:val="24"/>
        </w:rPr>
        <w:footnoteReference w:id="6"/>
      </w:r>
      <w:r w:rsidRPr="00805294">
        <w:rPr>
          <w:rFonts w:ascii="Times New Roman" w:hAnsi="Times New Roman" w:cs="Times New Roman"/>
          <w:sz w:val="24"/>
          <w:szCs w:val="24"/>
        </w:rPr>
        <w:t xml:space="preserve">  If there is any evidence to support a trial court’s determination that a party acquired prescriptive </w:t>
      </w:r>
      <w:r w:rsidRPr="00805294">
        <w:rPr>
          <w:rFonts w:ascii="Times New Roman" w:hAnsi="Times New Roman" w:cs="Times New Roman"/>
          <w:sz w:val="24"/>
          <w:szCs w:val="24"/>
        </w:rPr>
        <w:lastRenderedPageBreak/>
        <w:t>title to disputed land, it will not be disturbed on appeal, even if there is evidence to support a contrary determination.</w:t>
      </w:r>
      <w:r w:rsidR="00772DBC" w:rsidRPr="00805294">
        <w:rPr>
          <w:rStyle w:val="FootnoteReference"/>
          <w:rFonts w:ascii="Times New Roman" w:hAnsi="Times New Roman" w:cs="Times New Roman"/>
          <w:sz w:val="24"/>
          <w:szCs w:val="24"/>
        </w:rPr>
        <w:footnoteReference w:id="7"/>
      </w:r>
      <w:r w:rsidRPr="00805294">
        <w:rPr>
          <w:rFonts w:ascii="Times New Roman" w:hAnsi="Times New Roman" w:cs="Times New Roman"/>
          <w:sz w:val="24"/>
          <w:szCs w:val="24"/>
        </w:rPr>
        <w:t xml:space="preserve">  </w:t>
      </w:r>
    </w:p>
    <w:p w14:paraId="0E7A8290" w14:textId="77777777" w:rsidR="000975F8" w:rsidRPr="00A5547B" w:rsidRDefault="000975F8" w:rsidP="00A5547B">
      <w:pPr>
        <w:pStyle w:val="Heading1"/>
      </w:pPr>
      <w:r w:rsidRPr="00A5547B">
        <w:t>Claim Cannot Have Originated In Fraud</w:t>
      </w:r>
    </w:p>
    <w:p w14:paraId="0CEF829E" w14:textId="77777777" w:rsidR="0088387F" w:rsidRPr="00805294" w:rsidRDefault="000975F8" w:rsidP="0088387F">
      <w:p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ab/>
        <w:t>“In order for fraud to prevent the possession of property from being the foundation of prescription, such fraud must be actual or positive and not merely constructive or legal.”</w:t>
      </w:r>
      <w:r w:rsidR="003A1CB3" w:rsidRPr="00805294">
        <w:rPr>
          <w:rStyle w:val="FootnoteReference"/>
          <w:rFonts w:ascii="Times New Roman" w:hAnsi="Times New Roman" w:cs="Times New Roman"/>
          <w:sz w:val="24"/>
          <w:szCs w:val="24"/>
        </w:rPr>
        <w:footnoteReference w:id="8"/>
      </w:r>
      <w:r w:rsidRPr="00805294">
        <w:rPr>
          <w:rFonts w:ascii="Times New Roman" w:hAnsi="Times New Roman" w:cs="Times New Roman"/>
          <w:sz w:val="24"/>
          <w:szCs w:val="24"/>
        </w:rPr>
        <w:t xml:space="preserve">  A person who claims title by virtue of adverse possession under color of title must have actual notice of any alleged fraud before that fraud will defeat his </w:t>
      </w:r>
      <w:r w:rsidR="003A1CB3" w:rsidRPr="00805294">
        <w:rPr>
          <w:rFonts w:ascii="Times New Roman" w:hAnsi="Times New Roman" w:cs="Times New Roman"/>
          <w:sz w:val="24"/>
          <w:szCs w:val="24"/>
        </w:rPr>
        <w:t>adverse possession claim.</w:t>
      </w:r>
      <w:r w:rsidR="003A1CB3" w:rsidRPr="00805294">
        <w:rPr>
          <w:rStyle w:val="FootnoteReference"/>
          <w:rFonts w:ascii="Times New Roman" w:hAnsi="Times New Roman" w:cs="Times New Roman"/>
          <w:sz w:val="24"/>
          <w:szCs w:val="24"/>
        </w:rPr>
        <w:footnoteReference w:id="9"/>
      </w:r>
      <w:r w:rsidRPr="00805294">
        <w:rPr>
          <w:rFonts w:ascii="Times New Roman" w:hAnsi="Times New Roman" w:cs="Times New Roman"/>
          <w:sz w:val="24"/>
          <w:szCs w:val="24"/>
        </w:rPr>
        <w:t xml:space="preserve"> </w:t>
      </w:r>
      <w:r w:rsidR="003A1CB3" w:rsidRPr="00805294">
        <w:rPr>
          <w:rFonts w:ascii="Times New Roman" w:hAnsi="Times New Roman" w:cs="Times New Roman"/>
          <w:sz w:val="24"/>
          <w:szCs w:val="24"/>
        </w:rPr>
        <w:t xml:space="preserve"> </w:t>
      </w:r>
      <w:r w:rsidRPr="00805294">
        <w:rPr>
          <w:rFonts w:ascii="Times New Roman" w:hAnsi="Times New Roman" w:cs="Times New Roman"/>
          <w:sz w:val="24"/>
          <w:szCs w:val="24"/>
        </w:rPr>
        <w:t>Where the person claiming title by virtue of adverse possession had no notice of alleged fraud concerning the document in question, there could be no “actual or positive fraud” as required by the statute.</w:t>
      </w:r>
      <w:r w:rsidR="003A1CB3" w:rsidRPr="00805294">
        <w:rPr>
          <w:rStyle w:val="FootnoteReference"/>
          <w:rFonts w:ascii="Times New Roman" w:hAnsi="Times New Roman" w:cs="Times New Roman"/>
          <w:sz w:val="24"/>
          <w:szCs w:val="24"/>
        </w:rPr>
        <w:footnoteReference w:id="10"/>
      </w:r>
      <w:r w:rsidRPr="00805294">
        <w:rPr>
          <w:rFonts w:ascii="Times New Roman" w:hAnsi="Times New Roman" w:cs="Times New Roman"/>
          <w:sz w:val="24"/>
          <w:szCs w:val="24"/>
        </w:rPr>
        <w:t xml:space="preserve">  </w:t>
      </w:r>
    </w:p>
    <w:p w14:paraId="5B7292A1" w14:textId="77777777" w:rsidR="000975F8" w:rsidRPr="00805294" w:rsidRDefault="000975F8" w:rsidP="0088387F">
      <w:pPr>
        <w:spacing w:after="0" w:line="480" w:lineRule="auto"/>
        <w:ind w:firstLine="720"/>
        <w:jc w:val="both"/>
        <w:rPr>
          <w:rFonts w:ascii="Times New Roman" w:hAnsi="Times New Roman" w:cs="Times New Roman"/>
          <w:sz w:val="24"/>
          <w:szCs w:val="24"/>
        </w:rPr>
      </w:pPr>
      <w:r w:rsidRPr="00805294">
        <w:rPr>
          <w:rFonts w:ascii="Times New Roman" w:hAnsi="Times New Roman" w:cs="Times New Roman"/>
          <w:sz w:val="24"/>
          <w:szCs w:val="24"/>
        </w:rPr>
        <w:t>Additionally, when “actual or positive fraud prevents or deters another party from acting, prescription shall not run until such fraud is discovered.”</w:t>
      </w:r>
      <w:r w:rsidR="003A1CB3" w:rsidRPr="00805294">
        <w:rPr>
          <w:rStyle w:val="FootnoteReference"/>
          <w:rFonts w:ascii="Times New Roman" w:hAnsi="Times New Roman" w:cs="Times New Roman"/>
          <w:sz w:val="24"/>
          <w:szCs w:val="24"/>
        </w:rPr>
        <w:footnoteReference w:id="11"/>
      </w:r>
      <w:r w:rsidRPr="00805294">
        <w:rPr>
          <w:rFonts w:ascii="Times New Roman" w:hAnsi="Times New Roman" w:cs="Times New Roman"/>
          <w:sz w:val="24"/>
          <w:szCs w:val="24"/>
        </w:rPr>
        <w:t xml:space="preserve">  But, if the alleged fraud does not “prevent or deter” a party from acting, the alleged fraud cannot bar a claim of title by adverse possession.</w:t>
      </w:r>
      <w:r w:rsidR="003A1CB3" w:rsidRPr="00805294">
        <w:rPr>
          <w:rStyle w:val="FootnoteReference"/>
          <w:rFonts w:ascii="Times New Roman" w:hAnsi="Times New Roman" w:cs="Times New Roman"/>
          <w:sz w:val="24"/>
          <w:szCs w:val="24"/>
        </w:rPr>
        <w:footnoteReference w:id="12"/>
      </w:r>
      <w:r w:rsidRPr="00805294">
        <w:rPr>
          <w:rFonts w:ascii="Times New Roman" w:hAnsi="Times New Roman" w:cs="Times New Roman"/>
          <w:sz w:val="24"/>
          <w:szCs w:val="24"/>
        </w:rPr>
        <w:t xml:space="preserve">  </w:t>
      </w:r>
    </w:p>
    <w:p w14:paraId="55702346" w14:textId="77777777" w:rsidR="000975F8" w:rsidRPr="00805294" w:rsidRDefault="000975F8" w:rsidP="00A5547B">
      <w:pPr>
        <w:pStyle w:val="Heading1"/>
      </w:pPr>
      <w:r w:rsidRPr="00805294">
        <w:t>Hostile Possession</w:t>
      </w:r>
    </w:p>
    <w:p w14:paraId="4A0606C7" w14:textId="77777777" w:rsidR="0088387F" w:rsidRPr="00805294" w:rsidRDefault="000975F8" w:rsidP="0088387F">
      <w:p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ab/>
        <w:t>“Actual possession of lands may be evidenced by enclosure, cultivation, or any use and occupation of the lands which is so notorious as to attract the attention of every adverse claimant and so exclusive as to prevent actual occupation by another.”</w:t>
      </w:r>
      <w:r w:rsidR="00C85791" w:rsidRPr="00805294">
        <w:rPr>
          <w:rStyle w:val="FootnoteReference"/>
          <w:rFonts w:ascii="Times New Roman" w:hAnsi="Times New Roman" w:cs="Times New Roman"/>
          <w:sz w:val="24"/>
          <w:szCs w:val="24"/>
        </w:rPr>
        <w:footnoteReference w:id="13"/>
      </w:r>
      <w:r w:rsidRPr="00805294">
        <w:rPr>
          <w:rFonts w:ascii="Times New Roman" w:hAnsi="Times New Roman" w:cs="Times New Roman"/>
          <w:sz w:val="24"/>
          <w:szCs w:val="24"/>
        </w:rPr>
        <w:t xml:space="preserve">  “During the time required for the </w:t>
      </w:r>
      <w:r w:rsidRPr="00805294">
        <w:rPr>
          <w:rFonts w:ascii="Times New Roman" w:hAnsi="Times New Roman" w:cs="Times New Roman"/>
          <w:sz w:val="24"/>
          <w:szCs w:val="24"/>
        </w:rPr>
        <w:lastRenderedPageBreak/>
        <w:t>ripening of prescription, it is necessary that ‘there shall be something to give notice that another is doing such acts or holding out such signs as to indicate the existence of a possession adverse to the true owner.’”</w:t>
      </w:r>
      <w:r w:rsidR="00C85791" w:rsidRPr="00805294">
        <w:rPr>
          <w:rStyle w:val="FootnoteReference"/>
          <w:rFonts w:ascii="Times New Roman" w:hAnsi="Times New Roman" w:cs="Times New Roman"/>
          <w:sz w:val="24"/>
          <w:szCs w:val="24"/>
        </w:rPr>
        <w:footnoteReference w:id="14"/>
      </w:r>
      <w:r w:rsidRPr="00805294">
        <w:rPr>
          <w:rFonts w:ascii="Times New Roman" w:hAnsi="Times New Roman" w:cs="Times New Roman"/>
          <w:sz w:val="24"/>
          <w:szCs w:val="24"/>
        </w:rPr>
        <w:t xml:space="preserve">  Possession “denotes the corporeal control of property, a state of actual occupancy, evidenced by things capable of being seen by the eye or of being ascertained by the use of the primary senses.”</w:t>
      </w:r>
      <w:r w:rsidR="00C85791" w:rsidRPr="00805294">
        <w:rPr>
          <w:rStyle w:val="FootnoteReference"/>
          <w:rFonts w:ascii="Times New Roman" w:hAnsi="Times New Roman" w:cs="Times New Roman"/>
          <w:sz w:val="24"/>
          <w:szCs w:val="24"/>
        </w:rPr>
        <w:footnoteReference w:id="15"/>
      </w:r>
      <w:r w:rsidRPr="00805294">
        <w:rPr>
          <w:rFonts w:ascii="Times New Roman" w:hAnsi="Times New Roman" w:cs="Times New Roman"/>
          <w:sz w:val="24"/>
          <w:szCs w:val="24"/>
        </w:rPr>
        <w:t xml:space="preserve">  </w:t>
      </w:r>
    </w:p>
    <w:p w14:paraId="643ECBAB" w14:textId="77777777" w:rsidR="000975F8" w:rsidRPr="00805294" w:rsidRDefault="000975F8" w:rsidP="0088387F">
      <w:pPr>
        <w:spacing w:after="0" w:line="480" w:lineRule="auto"/>
        <w:ind w:firstLine="720"/>
        <w:jc w:val="both"/>
        <w:rPr>
          <w:rFonts w:ascii="Times New Roman" w:hAnsi="Times New Roman" w:cs="Times New Roman"/>
          <w:sz w:val="24"/>
          <w:szCs w:val="24"/>
        </w:rPr>
      </w:pPr>
      <w:r w:rsidRPr="00805294">
        <w:rPr>
          <w:rFonts w:ascii="Times New Roman" w:hAnsi="Times New Roman" w:cs="Times New Roman"/>
          <w:sz w:val="24"/>
          <w:szCs w:val="24"/>
        </w:rPr>
        <w:t>A review of Georgia case law shows what fact patterns the courts have determined to comprise adverse or hostile possession sufficient for prescriptive title to arise:</w:t>
      </w:r>
    </w:p>
    <w:p w14:paraId="581854FB" w14:textId="77777777" w:rsidR="0088387F" w:rsidRPr="00805294" w:rsidRDefault="000975F8" w:rsidP="0088387F">
      <w:pPr>
        <w:numPr>
          <w:ilvl w:val="0"/>
          <w:numId w:val="17"/>
        </w:num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Railroad tie terraces constructed in a backyard to raise and level the yard, and which encroached onto neighboring property along with construction debris, constituted adverse possession of the neighboring property. “It is undisputed that the terraces and construction debris encroaching onto [defendants’] property have remained in the same place continuously since at least 1990 when the terraces were built, thus satisfying the statutory 20-year prescriptive period.  The building of the terraces changed the nature and appearance of the property and gave notice to all that the [plaintiffs] were exercising possession over the property in question.”</w:t>
      </w:r>
      <w:r w:rsidR="00C85791" w:rsidRPr="00805294">
        <w:rPr>
          <w:rStyle w:val="FootnoteReference"/>
          <w:rFonts w:ascii="Times New Roman" w:hAnsi="Times New Roman" w:cs="Times New Roman"/>
          <w:sz w:val="24"/>
          <w:szCs w:val="24"/>
        </w:rPr>
        <w:footnoteReference w:id="16"/>
      </w:r>
      <w:r w:rsidRPr="00805294">
        <w:rPr>
          <w:rFonts w:ascii="Times New Roman" w:hAnsi="Times New Roman" w:cs="Times New Roman"/>
          <w:sz w:val="24"/>
          <w:szCs w:val="24"/>
        </w:rPr>
        <w:t xml:space="preserve">  “Construction of the terraces also demonstrated [plaintiffs’] exercise of exclusive dominion over the property and an appropriation of it for their own use and benefit.”</w:t>
      </w:r>
      <w:r w:rsidR="00B33E8F" w:rsidRPr="00805294">
        <w:rPr>
          <w:rStyle w:val="FootnoteReference"/>
          <w:rFonts w:ascii="Times New Roman" w:hAnsi="Times New Roman" w:cs="Times New Roman"/>
          <w:sz w:val="24"/>
          <w:szCs w:val="24"/>
        </w:rPr>
        <w:footnoteReference w:id="17"/>
      </w:r>
      <w:r w:rsidRPr="00805294">
        <w:rPr>
          <w:rFonts w:ascii="Times New Roman" w:hAnsi="Times New Roman" w:cs="Times New Roman"/>
          <w:sz w:val="24"/>
          <w:szCs w:val="24"/>
        </w:rPr>
        <w:t xml:space="preserve">  </w:t>
      </w:r>
    </w:p>
    <w:p w14:paraId="388116AC" w14:textId="77777777" w:rsidR="0088387F" w:rsidRPr="00805294" w:rsidRDefault="000975F8" w:rsidP="0088387F">
      <w:pPr>
        <w:numPr>
          <w:ilvl w:val="0"/>
          <w:numId w:val="17"/>
        </w:num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 xml:space="preserve">The disputed land contained a pond created by a dam, which broke, resulting in the pond being drained.  The adverse possessors entered onto the disputed land in order to reconstruct the dam at a substantial cost borne only by them, and the neighboring </w:t>
      </w:r>
      <w:r w:rsidRPr="00805294">
        <w:rPr>
          <w:rFonts w:ascii="Times New Roman" w:hAnsi="Times New Roman" w:cs="Times New Roman"/>
          <w:sz w:val="24"/>
          <w:szCs w:val="24"/>
        </w:rPr>
        <w:lastRenderedPageBreak/>
        <w:t>property owner did not object to this act of actual possession and ownership.  The work on the dam was visible from the public road that crossed the neighbors’ property, and this evidence alone was “sufficient to establish open and notorious occupation to put the world on notice of actual possession of the disputed land.”</w:t>
      </w:r>
      <w:r w:rsidR="00B33E8F" w:rsidRPr="00805294">
        <w:rPr>
          <w:rStyle w:val="FootnoteReference"/>
          <w:rFonts w:ascii="Times New Roman" w:hAnsi="Times New Roman" w:cs="Times New Roman"/>
          <w:sz w:val="24"/>
          <w:szCs w:val="24"/>
        </w:rPr>
        <w:footnoteReference w:id="18"/>
      </w:r>
      <w:r w:rsidRPr="00805294">
        <w:rPr>
          <w:rFonts w:ascii="Times New Roman" w:hAnsi="Times New Roman" w:cs="Times New Roman"/>
          <w:sz w:val="24"/>
          <w:szCs w:val="24"/>
        </w:rPr>
        <w:t xml:space="preserve">    The reconstruction of the dam also supported actual possession of all the disputed land, even though some of it was wild land that was not enclosed or cultivated, because “possession under a duly recorded deed shall be construed to extend to all the contiguous property embraced in such deed.”</w:t>
      </w:r>
      <w:r w:rsidR="00B33E8F" w:rsidRPr="00805294">
        <w:rPr>
          <w:rStyle w:val="FootnoteReference"/>
          <w:rFonts w:ascii="Times New Roman" w:hAnsi="Times New Roman" w:cs="Times New Roman"/>
          <w:sz w:val="24"/>
          <w:szCs w:val="24"/>
        </w:rPr>
        <w:footnoteReference w:id="19"/>
      </w:r>
      <w:r w:rsidRPr="00805294">
        <w:rPr>
          <w:rFonts w:ascii="Times New Roman" w:hAnsi="Times New Roman" w:cs="Times New Roman"/>
          <w:sz w:val="24"/>
          <w:szCs w:val="24"/>
        </w:rPr>
        <w:t xml:space="preserve">  </w:t>
      </w:r>
    </w:p>
    <w:p w14:paraId="4B4F9721" w14:textId="77777777" w:rsidR="0088387F" w:rsidRPr="00805294" w:rsidRDefault="000975F8" w:rsidP="0088387F">
      <w:pPr>
        <w:numPr>
          <w:ilvl w:val="0"/>
          <w:numId w:val="17"/>
        </w:num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Mowing and occasionally cleaning up a disputed area is not generally sufficient to constitute actual possession; where the disputed area adjoins the property of the party claiming adverse possession, “other claimants could have interpreted such mowing and occasional clean-up as having a merely aesthetic objective and not as an intent to exercise dominion.”</w:t>
      </w:r>
      <w:r w:rsidR="00B33E8F" w:rsidRPr="00805294">
        <w:rPr>
          <w:rStyle w:val="FootnoteReference"/>
          <w:rFonts w:ascii="Times New Roman" w:hAnsi="Times New Roman" w:cs="Times New Roman"/>
          <w:sz w:val="24"/>
          <w:szCs w:val="24"/>
        </w:rPr>
        <w:footnoteReference w:id="20"/>
      </w:r>
      <w:r w:rsidRPr="00805294">
        <w:rPr>
          <w:rFonts w:ascii="Times New Roman" w:hAnsi="Times New Roman" w:cs="Times New Roman"/>
          <w:sz w:val="24"/>
          <w:szCs w:val="24"/>
        </w:rPr>
        <w:t xml:space="preserve">  </w:t>
      </w:r>
    </w:p>
    <w:p w14:paraId="4765B43D" w14:textId="77777777" w:rsidR="0088387F" w:rsidRPr="00805294" w:rsidRDefault="000975F8" w:rsidP="0088387F">
      <w:pPr>
        <w:numPr>
          <w:ilvl w:val="0"/>
          <w:numId w:val="17"/>
        </w:num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Occasional visits to property are not sufficient to establish possession.</w:t>
      </w:r>
      <w:r w:rsidR="00523C9A" w:rsidRPr="00805294">
        <w:rPr>
          <w:rStyle w:val="FootnoteReference"/>
          <w:rFonts w:ascii="Times New Roman" w:hAnsi="Times New Roman" w:cs="Times New Roman"/>
          <w:sz w:val="24"/>
          <w:szCs w:val="24"/>
        </w:rPr>
        <w:footnoteReference w:id="21"/>
      </w:r>
      <w:r w:rsidRPr="00805294">
        <w:rPr>
          <w:rFonts w:ascii="Times New Roman" w:hAnsi="Times New Roman" w:cs="Times New Roman"/>
          <w:sz w:val="24"/>
          <w:szCs w:val="24"/>
        </w:rPr>
        <w:t xml:space="preserve">  </w:t>
      </w:r>
    </w:p>
    <w:p w14:paraId="23C06D8A" w14:textId="77777777" w:rsidR="0088387F" w:rsidRPr="00805294" w:rsidRDefault="000975F8" w:rsidP="0088387F">
      <w:pPr>
        <w:numPr>
          <w:ilvl w:val="0"/>
          <w:numId w:val="17"/>
        </w:num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Clearing an area of vegetation or timber cutting have little value as evidence of possession.</w:t>
      </w:r>
      <w:r w:rsidR="00523C9A" w:rsidRPr="00805294">
        <w:rPr>
          <w:rStyle w:val="FootnoteReference"/>
          <w:rFonts w:ascii="Times New Roman" w:hAnsi="Times New Roman" w:cs="Times New Roman"/>
          <w:sz w:val="24"/>
          <w:szCs w:val="24"/>
        </w:rPr>
        <w:footnoteReference w:id="22"/>
      </w:r>
      <w:r w:rsidRPr="00805294">
        <w:rPr>
          <w:rFonts w:ascii="Times New Roman" w:hAnsi="Times New Roman" w:cs="Times New Roman"/>
          <w:sz w:val="24"/>
          <w:szCs w:val="24"/>
        </w:rPr>
        <w:t xml:space="preserve">  </w:t>
      </w:r>
    </w:p>
    <w:p w14:paraId="283717C2" w14:textId="77777777" w:rsidR="0088387F" w:rsidRPr="00805294" w:rsidRDefault="000975F8" w:rsidP="0088387F">
      <w:pPr>
        <w:numPr>
          <w:ilvl w:val="0"/>
          <w:numId w:val="17"/>
        </w:num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Whether a disputed area is enclosed is an issue for the trier of fact.</w:t>
      </w:r>
      <w:r w:rsidR="00523C9A" w:rsidRPr="00805294">
        <w:rPr>
          <w:rStyle w:val="FootnoteReference"/>
          <w:rFonts w:ascii="Times New Roman" w:hAnsi="Times New Roman" w:cs="Times New Roman"/>
          <w:sz w:val="24"/>
          <w:szCs w:val="24"/>
        </w:rPr>
        <w:footnoteReference w:id="23"/>
      </w:r>
      <w:r w:rsidRPr="00805294">
        <w:rPr>
          <w:rFonts w:ascii="Times New Roman" w:hAnsi="Times New Roman" w:cs="Times New Roman"/>
          <w:sz w:val="24"/>
          <w:szCs w:val="24"/>
        </w:rPr>
        <w:t xml:space="preserve">  </w:t>
      </w:r>
    </w:p>
    <w:p w14:paraId="64973209" w14:textId="77777777" w:rsidR="0088387F" w:rsidRPr="00805294" w:rsidRDefault="000975F8" w:rsidP="0088387F">
      <w:pPr>
        <w:numPr>
          <w:ilvl w:val="0"/>
          <w:numId w:val="17"/>
        </w:num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 xml:space="preserve">Where a community homeowners association permitted residents of the community to enjoy a disputed area as common property but did not permit them to take over the property for their own personal use and consistently impeded their attempts to do </w:t>
      </w:r>
      <w:r w:rsidRPr="00805294">
        <w:rPr>
          <w:rFonts w:ascii="Times New Roman" w:hAnsi="Times New Roman" w:cs="Times New Roman"/>
          <w:sz w:val="24"/>
          <w:szCs w:val="24"/>
        </w:rPr>
        <w:lastRenderedPageBreak/>
        <w:t>personal construction projects on the disputed area, the residents could not show they had adverse possession of the property.</w:t>
      </w:r>
      <w:r w:rsidR="001F0374" w:rsidRPr="00805294">
        <w:rPr>
          <w:rStyle w:val="FootnoteReference"/>
          <w:rFonts w:ascii="Times New Roman" w:hAnsi="Times New Roman" w:cs="Times New Roman"/>
          <w:sz w:val="24"/>
          <w:szCs w:val="24"/>
        </w:rPr>
        <w:footnoteReference w:id="24"/>
      </w:r>
      <w:r w:rsidRPr="00805294">
        <w:rPr>
          <w:rFonts w:ascii="Times New Roman" w:hAnsi="Times New Roman" w:cs="Times New Roman"/>
          <w:sz w:val="24"/>
          <w:szCs w:val="24"/>
        </w:rPr>
        <w:t xml:space="preserve">  </w:t>
      </w:r>
    </w:p>
    <w:p w14:paraId="176764D4" w14:textId="77777777" w:rsidR="0088387F" w:rsidRPr="00805294" w:rsidRDefault="000975F8" w:rsidP="0088387F">
      <w:pPr>
        <w:numPr>
          <w:ilvl w:val="0"/>
          <w:numId w:val="17"/>
        </w:num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Installing a sprinkler system, by itself, would not establish adverse possession.</w:t>
      </w:r>
      <w:r w:rsidR="001F0374" w:rsidRPr="00805294">
        <w:rPr>
          <w:rStyle w:val="FootnoteReference"/>
          <w:rFonts w:ascii="Times New Roman" w:hAnsi="Times New Roman" w:cs="Times New Roman"/>
          <w:sz w:val="24"/>
          <w:szCs w:val="24"/>
        </w:rPr>
        <w:footnoteReference w:id="25"/>
      </w:r>
      <w:r w:rsidRPr="00805294">
        <w:rPr>
          <w:rFonts w:ascii="Times New Roman" w:hAnsi="Times New Roman" w:cs="Times New Roman"/>
          <w:sz w:val="24"/>
          <w:szCs w:val="24"/>
        </w:rPr>
        <w:t xml:space="preserve">  </w:t>
      </w:r>
    </w:p>
    <w:p w14:paraId="7493DF85" w14:textId="77777777" w:rsidR="0088387F" w:rsidRPr="00805294" w:rsidRDefault="000975F8" w:rsidP="0088387F">
      <w:pPr>
        <w:numPr>
          <w:ilvl w:val="0"/>
          <w:numId w:val="17"/>
        </w:num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Actual “adverse possession by one claimant is inconsistent with and will prevail over mere constructive possession by another claimant.”</w:t>
      </w:r>
      <w:r w:rsidR="00C00FAF" w:rsidRPr="00805294">
        <w:rPr>
          <w:rStyle w:val="FootnoteReference"/>
          <w:rFonts w:ascii="Times New Roman" w:hAnsi="Times New Roman" w:cs="Times New Roman"/>
          <w:sz w:val="24"/>
          <w:szCs w:val="24"/>
        </w:rPr>
        <w:footnoteReference w:id="26"/>
      </w:r>
      <w:r w:rsidRPr="00805294">
        <w:rPr>
          <w:rFonts w:ascii="Times New Roman" w:hAnsi="Times New Roman" w:cs="Times New Roman"/>
          <w:sz w:val="24"/>
          <w:szCs w:val="24"/>
        </w:rPr>
        <w:t xml:space="preserve">  </w:t>
      </w:r>
    </w:p>
    <w:p w14:paraId="67F2EE98" w14:textId="77777777" w:rsidR="0088387F" w:rsidRPr="00805294" w:rsidRDefault="000975F8" w:rsidP="0088387F">
      <w:pPr>
        <w:numPr>
          <w:ilvl w:val="0"/>
          <w:numId w:val="17"/>
        </w:num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 xml:space="preserve">In a dispute over the rear portion of the second floor of a building, the tenant who rented the adjacent front portion of the second floor was determined to have title to the disputed space where he: replaced the door at the base of the stairwell leading to the second floor and did not provide a key to anyone; used the disputed space to store material for the renovation of the front portion; did not observe anyone other than himself and his agents either possessing the disputed space or maintaining it; and posted “No Trespassing” signs.  This evidence showed that the owner of the first floor of the building, which had claimed the disputed space by adverse possession, could not prevail because it was not in continuous, exclusive, and uninterrupted </w:t>
      </w:r>
      <w:r w:rsidR="00C00FAF" w:rsidRPr="00805294">
        <w:rPr>
          <w:rFonts w:ascii="Times New Roman" w:hAnsi="Times New Roman" w:cs="Times New Roman"/>
          <w:sz w:val="24"/>
          <w:szCs w:val="24"/>
        </w:rPr>
        <w:t>actual possession of the space.</w:t>
      </w:r>
      <w:r w:rsidR="00C00FAF" w:rsidRPr="00805294">
        <w:rPr>
          <w:rStyle w:val="FootnoteReference"/>
          <w:rFonts w:ascii="Times New Roman" w:hAnsi="Times New Roman" w:cs="Times New Roman"/>
          <w:sz w:val="24"/>
          <w:szCs w:val="24"/>
        </w:rPr>
        <w:footnoteReference w:id="27"/>
      </w:r>
      <w:r w:rsidRPr="00805294">
        <w:rPr>
          <w:rFonts w:ascii="Times New Roman" w:hAnsi="Times New Roman" w:cs="Times New Roman"/>
          <w:sz w:val="24"/>
          <w:szCs w:val="24"/>
        </w:rPr>
        <w:t xml:space="preserve"> </w:t>
      </w:r>
      <w:r w:rsidR="00C00FAF" w:rsidRPr="00805294">
        <w:rPr>
          <w:rFonts w:ascii="Times New Roman" w:hAnsi="Times New Roman" w:cs="Times New Roman"/>
          <w:sz w:val="24"/>
          <w:szCs w:val="24"/>
        </w:rPr>
        <w:t xml:space="preserve"> </w:t>
      </w:r>
      <w:r w:rsidRPr="00805294">
        <w:rPr>
          <w:rFonts w:ascii="Times New Roman" w:hAnsi="Times New Roman" w:cs="Times New Roman"/>
          <w:sz w:val="24"/>
          <w:szCs w:val="24"/>
        </w:rPr>
        <w:t>The owner of the first floor showed that it repaired the roof of the building on several occasions, but the purpose of those repairs seems to have been to protect its interest in the first floor, and even assuming the repairs could be considered as maintenance of the disputed space on the second floor, such sporadic efforts were not generally sufficient to constitute actual possession.</w:t>
      </w:r>
      <w:r w:rsidR="00C00FAF" w:rsidRPr="00805294">
        <w:rPr>
          <w:rStyle w:val="FootnoteReference"/>
          <w:rFonts w:ascii="Times New Roman" w:hAnsi="Times New Roman" w:cs="Times New Roman"/>
          <w:sz w:val="24"/>
          <w:szCs w:val="24"/>
        </w:rPr>
        <w:footnoteReference w:id="28"/>
      </w:r>
      <w:r w:rsidRPr="00805294">
        <w:rPr>
          <w:rFonts w:ascii="Times New Roman" w:hAnsi="Times New Roman" w:cs="Times New Roman"/>
          <w:sz w:val="24"/>
          <w:szCs w:val="24"/>
        </w:rPr>
        <w:t xml:space="preserve">  </w:t>
      </w:r>
    </w:p>
    <w:p w14:paraId="6DB83208" w14:textId="77777777" w:rsidR="0088387F" w:rsidRPr="00805294" w:rsidRDefault="000975F8" w:rsidP="0088387F">
      <w:pPr>
        <w:numPr>
          <w:ilvl w:val="0"/>
          <w:numId w:val="17"/>
        </w:num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lastRenderedPageBreak/>
        <w:t>A “mere entry, unaccompanied by an actual occupancy, is no possession at all”</w:t>
      </w:r>
      <w:r w:rsidR="00C00FAF" w:rsidRPr="00805294">
        <w:rPr>
          <w:rStyle w:val="FootnoteReference"/>
          <w:rFonts w:ascii="Times New Roman" w:hAnsi="Times New Roman" w:cs="Times New Roman"/>
          <w:sz w:val="24"/>
          <w:szCs w:val="24"/>
        </w:rPr>
        <w:footnoteReference w:id="29"/>
      </w:r>
      <w:r w:rsidRPr="00805294">
        <w:rPr>
          <w:rFonts w:ascii="Times New Roman" w:hAnsi="Times New Roman" w:cs="Times New Roman"/>
          <w:sz w:val="24"/>
          <w:szCs w:val="24"/>
        </w:rPr>
        <w:t xml:space="preserve">  </w:t>
      </w:r>
    </w:p>
    <w:p w14:paraId="4E643D90" w14:textId="77777777" w:rsidR="0088387F" w:rsidRPr="00805294" w:rsidRDefault="000975F8" w:rsidP="0088387F">
      <w:pPr>
        <w:numPr>
          <w:ilvl w:val="0"/>
          <w:numId w:val="17"/>
        </w:num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“To constitute adverse possession, the [claimant] must either remain permanently upon the land, or else occupy it in such a way, as to leave no doubt in the mind of the true owner, not only who the adverse claimant was, but that it was his purpose to keep him out of his land. … Adverse possession is to be made out by acts which are open, visible, notorious, and continuous; and does not depend upon the secret purpose or intention of the intruder; that he will return at his convenience, sooner or later, and reoccupy the land.”</w:t>
      </w:r>
      <w:r w:rsidR="00C00FAF" w:rsidRPr="00805294">
        <w:rPr>
          <w:rStyle w:val="FootnoteReference"/>
          <w:rFonts w:ascii="Times New Roman" w:hAnsi="Times New Roman" w:cs="Times New Roman"/>
          <w:sz w:val="24"/>
          <w:szCs w:val="24"/>
        </w:rPr>
        <w:footnoteReference w:id="30"/>
      </w:r>
      <w:r w:rsidRPr="00805294">
        <w:rPr>
          <w:rFonts w:ascii="Times New Roman" w:hAnsi="Times New Roman" w:cs="Times New Roman"/>
          <w:sz w:val="24"/>
          <w:szCs w:val="24"/>
        </w:rPr>
        <w:t xml:space="preserve">  </w:t>
      </w:r>
    </w:p>
    <w:p w14:paraId="769AA370" w14:textId="77777777" w:rsidR="0088387F" w:rsidRPr="00805294" w:rsidRDefault="000975F8" w:rsidP="0088387F">
      <w:pPr>
        <w:numPr>
          <w:ilvl w:val="0"/>
          <w:numId w:val="17"/>
        </w:num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Plaintiff established prescriptive title over disputed property by adverse possession where she showed that she exclusively used and occupied the property for more than 20 years by mowing, maintaining, fencing, and placing old cars, boats, a chicken coop, basketball goals, and a driveway on it.  She also showed that the defendants never crossed a natural boundary line to use the property in question.</w:t>
      </w:r>
      <w:r w:rsidR="00C00FAF" w:rsidRPr="00805294">
        <w:rPr>
          <w:rStyle w:val="FootnoteReference"/>
          <w:rFonts w:ascii="Times New Roman" w:hAnsi="Times New Roman" w:cs="Times New Roman"/>
          <w:sz w:val="24"/>
          <w:szCs w:val="24"/>
        </w:rPr>
        <w:footnoteReference w:id="31"/>
      </w:r>
      <w:r w:rsidRPr="00805294">
        <w:rPr>
          <w:rFonts w:ascii="Times New Roman" w:hAnsi="Times New Roman" w:cs="Times New Roman"/>
          <w:sz w:val="24"/>
          <w:szCs w:val="24"/>
        </w:rPr>
        <w:t xml:space="preserve">  Although a neighbor testified that over the years he saw both plaintiff and defendants mowing the property, the credibility of that witness and the weight to be accorded his testimony were matters for the jury to resolve.</w:t>
      </w:r>
      <w:r w:rsidR="00C00FAF" w:rsidRPr="00805294">
        <w:rPr>
          <w:rStyle w:val="FootnoteReference"/>
          <w:rFonts w:ascii="Times New Roman" w:hAnsi="Times New Roman" w:cs="Times New Roman"/>
          <w:sz w:val="24"/>
          <w:szCs w:val="24"/>
        </w:rPr>
        <w:footnoteReference w:id="32"/>
      </w:r>
      <w:r w:rsidRPr="00805294">
        <w:rPr>
          <w:rFonts w:ascii="Times New Roman" w:hAnsi="Times New Roman" w:cs="Times New Roman"/>
          <w:sz w:val="24"/>
          <w:szCs w:val="24"/>
        </w:rPr>
        <w:t xml:space="preserve">  </w:t>
      </w:r>
    </w:p>
    <w:p w14:paraId="257CEFA2" w14:textId="77777777" w:rsidR="0088387F" w:rsidRPr="00805294" w:rsidRDefault="000975F8" w:rsidP="0088387F">
      <w:pPr>
        <w:numPr>
          <w:ilvl w:val="0"/>
          <w:numId w:val="17"/>
        </w:num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 xml:space="preserve">Church acquired property by adverse possession where it used the property as church property regularly since 1957 and regularly maintained the property, mowing it approximately every two weeks, removing downed tree limbs, and cleaning up the cemetery twice per year.  Church also presented evidence which established that the adjacent property owner had personal knowledge of the church’s claim to the property in </w:t>
      </w:r>
      <w:r w:rsidRPr="00805294">
        <w:rPr>
          <w:rFonts w:ascii="Times New Roman" w:hAnsi="Times New Roman" w:cs="Times New Roman"/>
          <w:sz w:val="24"/>
          <w:szCs w:val="24"/>
        </w:rPr>
        <w:lastRenderedPageBreak/>
        <w:t>question dating back to August 1972.  Trial court was authorized to conclude from the evidence presented that the church had acquired prescriptive title to the portion of the disputed property used and possessed by the church for church and cemetery purposes.</w:t>
      </w:r>
      <w:r w:rsidR="00B31E11" w:rsidRPr="00805294">
        <w:rPr>
          <w:rStyle w:val="FootnoteReference"/>
          <w:rFonts w:ascii="Times New Roman" w:hAnsi="Times New Roman" w:cs="Times New Roman"/>
          <w:sz w:val="24"/>
          <w:szCs w:val="24"/>
        </w:rPr>
        <w:footnoteReference w:id="33"/>
      </w:r>
      <w:r w:rsidRPr="00805294">
        <w:rPr>
          <w:rFonts w:ascii="Times New Roman" w:hAnsi="Times New Roman" w:cs="Times New Roman"/>
          <w:sz w:val="24"/>
          <w:szCs w:val="24"/>
        </w:rPr>
        <w:t xml:space="preserve">  </w:t>
      </w:r>
    </w:p>
    <w:p w14:paraId="4501DBB7" w14:textId="77777777" w:rsidR="0088387F" w:rsidRPr="00805294" w:rsidRDefault="000975F8" w:rsidP="0088387F">
      <w:pPr>
        <w:numPr>
          <w:ilvl w:val="0"/>
          <w:numId w:val="17"/>
        </w:num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In contrast, where a church received rental payments from a sign company which maintained billboards on a disputed lot and where the church occasionally cleaned up the area, these things were insufficient to constitute actual possession.  The billboards would give notice of nothing more than an easement and would not evidence actual possession by the church which was so exclusive as to prevent the occupation by others of the entire lot or even the area beneath the signs.</w:t>
      </w:r>
      <w:r w:rsidR="00B31E11" w:rsidRPr="00805294">
        <w:rPr>
          <w:rStyle w:val="FootnoteReference"/>
          <w:rFonts w:ascii="Times New Roman" w:hAnsi="Times New Roman" w:cs="Times New Roman"/>
          <w:sz w:val="24"/>
          <w:szCs w:val="24"/>
        </w:rPr>
        <w:footnoteReference w:id="34"/>
      </w:r>
      <w:r w:rsidRPr="00805294">
        <w:rPr>
          <w:rFonts w:ascii="Times New Roman" w:hAnsi="Times New Roman" w:cs="Times New Roman"/>
          <w:sz w:val="24"/>
          <w:szCs w:val="24"/>
        </w:rPr>
        <w:t xml:space="preserve">  </w:t>
      </w:r>
    </w:p>
    <w:p w14:paraId="7356C85B" w14:textId="77777777" w:rsidR="0088387F" w:rsidRPr="00805294" w:rsidRDefault="000975F8" w:rsidP="0088387F">
      <w:pPr>
        <w:numPr>
          <w:ilvl w:val="0"/>
          <w:numId w:val="17"/>
        </w:num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Payment of taxes is not evidence of title and ownership.</w:t>
      </w:r>
      <w:r w:rsidR="00B31E11" w:rsidRPr="00805294">
        <w:rPr>
          <w:rStyle w:val="FootnoteReference"/>
          <w:rFonts w:ascii="Times New Roman" w:hAnsi="Times New Roman" w:cs="Times New Roman"/>
          <w:sz w:val="24"/>
          <w:szCs w:val="24"/>
        </w:rPr>
        <w:footnoteReference w:id="35"/>
      </w:r>
      <w:r w:rsidRPr="00805294">
        <w:rPr>
          <w:rFonts w:ascii="Times New Roman" w:hAnsi="Times New Roman" w:cs="Times New Roman"/>
          <w:sz w:val="24"/>
          <w:szCs w:val="24"/>
        </w:rPr>
        <w:t xml:space="preserve">  </w:t>
      </w:r>
    </w:p>
    <w:p w14:paraId="635132D5" w14:textId="77777777" w:rsidR="000975F8" w:rsidRPr="00805294" w:rsidRDefault="000975F8" w:rsidP="0088387F">
      <w:pPr>
        <w:numPr>
          <w:ilvl w:val="0"/>
          <w:numId w:val="17"/>
        </w:num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“Declarations by a person in favor of his own title shall be admissible to prove his adverse possession.”  Where the claimant’s declarations and occupancy “left no doubt on the mind of the true owner, not only as to who the adverse claimant is, but that it was his purpose to keep him out of the land,” his possession was adverse and without permission.</w:t>
      </w:r>
      <w:r w:rsidR="00B31E11" w:rsidRPr="00805294">
        <w:rPr>
          <w:rStyle w:val="FootnoteReference"/>
          <w:rFonts w:ascii="Times New Roman" w:hAnsi="Times New Roman" w:cs="Times New Roman"/>
          <w:sz w:val="24"/>
          <w:szCs w:val="24"/>
        </w:rPr>
        <w:footnoteReference w:id="36"/>
      </w:r>
      <w:r w:rsidRPr="00805294">
        <w:rPr>
          <w:rFonts w:ascii="Times New Roman" w:hAnsi="Times New Roman" w:cs="Times New Roman"/>
          <w:sz w:val="24"/>
          <w:szCs w:val="24"/>
        </w:rPr>
        <w:t xml:space="preserve">  </w:t>
      </w:r>
    </w:p>
    <w:p w14:paraId="3D18053F" w14:textId="77777777" w:rsidR="000975F8" w:rsidRPr="00805294" w:rsidRDefault="000975F8" w:rsidP="00632E14">
      <w:pPr>
        <w:pStyle w:val="Heading1"/>
      </w:pPr>
      <w:r w:rsidRPr="00805294">
        <w:t>Exclusivity</w:t>
      </w:r>
    </w:p>
    <w:p w14:paraId="5D8E22FE" w14:textId="77777777" w:rsidR="000975F8" w:rsidRPr="00805294" w:rsidRDefault="000975F8" w:rsidP="0088387F">
      <w:p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ab/>
        <w:t>“‘Adverse possession, in order to ripen into title, must be exclusive.  ‘Exclusive possession’ means that the disseizor must show an exclusive dominion over the land and an appropriation of it to his own use and benefit.’”</w:t>
      </w:r>
      <w:r w:rsidR="002552B1" w:rsidRPr="00805294">
        <w:rPr>
          <w:rStyle w:val="FootnoteReference"/>
          <w:rFonts w:ascii="Times New Roman" w:hAnsi="Times New Roman" w:cs="Times New Roman"/>
          <w:sz w:val="24"/>
          <w:szCs w:val="24"/>
        </w:rPr>
        <w:footnoteReference w:id="37"/>
      </w:r>
      <w:r w:rsidRPr="00805294">
        <w:rPr>
          <w:rFonts w:ascii="Times New Roman" w:hAnsi="Times New Roman" w:cs="Times New Roman"/>
          <w:sz w:val="24"/>
          <w:szCs w:val="24"/>
        </w:rPr>
        <w:t xml:space="preserve">  “And while ‘[t]wo persons cannot hold one piece of property adversely to each other at the same time,’ it has been recognized that ‘an </w:t>
      </w:r>
      <w:r w:rsidRPr="00805294">
        <w:rPr>
          <w:rFonts w:ascii="Times New Roman" w:hAnsi="Times New Roman" w:cs="Times New Roman"/>
          <w:sz w:val="24"/>
          <w:szCs w:val="24"/>
        </w:rPr>
        <w:lastRenderedPageBreak/>
        <w:t>adverse claimant’s possession need not be absolutely exclusive, it need only be a type of possession which would characterize an owner’s use.’”</w:t>
      </w:r>
      <w:r w:rsidR="002552B1" w:rsidRPr="00805294">
        <w:rPr>
          <w:rStyle w:val="FootnoteReference"/>
          <w:rFonts w:ascii="Times New Roman" w:hAnsi="Times New Roman" w:cs="Times New Roman"/>
          <w:sz w:val="24"/>
          <w:szCs w:val="24"/>
        </w:rPr>
        <w:footnoteReference w:id="38"/>
      </w:r>
      <w:r w:rsidRPr="00805294">
        <w:rPr>
          <w:rFonts w:ascii="Times New Roman" w:hAnsi="Times New Roman" w:cs="Times New Roman"/>
          <w:sz w:val="24"/>
          <w:szCs w:val="24"/>
        </w:rPr>
        <w:t xml:space="preserve">  Thus, Georgia Power’s use of certain land in a limited area above and below the earth’s surface for the limited purpose of generating hydroelectric power, including its occasional entry onto the land to maintain its lines and tunnel, was consistent with the surface use of the property by the plaintiffs seeking title by adverse possession and did not attempt to interrupt their occupancy.</w:t>
      </w:r>
      <w:r w:rsidR="002552B1" w:rsidRPr="00805294">
        <w:rPr>
          <w:rStyle w:val="FootnoteReference"/>
          <w:rFonts w:ascii="Times New Roman" w:hAnsi="Times New Roman" w:cs="Times New Roman"/>
          <w:sz w:val="24"/>
          <w:szCs w:val="24"/>
        </w:rPr>
        <w:footnoteReference w:id="39"/>
      </w:r>
      <w:r w:rsidRPr="00805294">
        <w:rPr>
          <w:rFonts w:ascii="Times New Roman" w:hAnsi="Times New Roman" w:cs="Times New Roman"/>
          <w:sz w:val="24"/>
          <w:szCs w:val="24"/>
        </w:rPr>
        <w:t xml:space="preserve">  Even though plaintiffs’ continuous and open possession for almost 100 years was subject to Georgia Power’s limited use and was therefore not “absolutely exclusive,” it was consistent with ownership and was sufficiently exclusive to satisfy O.C.G.A. § 44-5-161 (a)( 3).</w:t>
      </w:r>
      <w:r w:rsidR="002552B1" w:rsidRPr="00805294">
        <w:rPr>
          <w:rStyle w:val="FootnoteReference"/>
          <w:rFonts w:ascii="Times New Roman" w:hAnsi="Times New Roman" w:cs="Times New Roman"/>
          <w:sz w:val="24"/>
          <w:szCs w:val="24"/>
        </w:rPr>
        <w:footnoteReference w:id="40"/>
      </w:r>
      <w:r w:rsidRPr="00805294">
        <w:rPr>
          <w:rFonts w:ascii="Times New Roman" w:hAnsi="Times New Roman" w:cs="Times New Roman"/>
          <w:sz w:val="24"/>
          <w:szCs w:val="24"/>
        </w:rPr>
        <w:t xml:space="preserve">  Georgia Power’s limited use of the property did not constitute joint possession which would negate the exclusivity of the plaintiffs’ possession and defeat their ability to acquire title by prescription.</w:t>
      </w:r>
      <w:r w:rsidR="002552B1" w:rsidRPr="00805294">
        <w:rPr>
          <w:rStyle w:val="FootnoteReference"/>
          <w:rFonts w:ascii="Times New Roman" w:hAnsi="Times New Roman" w:cs="Times New Roman"/>
          <w:sz w:val="24"/>
          <w:szCs w:val="24"/>
        </w:rPr>
        <w:footnoteReference w:id="41"/>
      </w:r>
      <w:r w:rsidRPr="00805294">
        <w:rPr>
          <w:rFonts w:ascii="Times New Roman" w:hAnsi="Times New Roman" w:cs="Times New Roman"/>
          <w:sz w:val="24"/>
          <w:szCs w:val="24"/>
        </w:rPr>
        <w:t xml:space="preserve">  </w:t>
      </w:r>
    </w:p>
    <w:p w14:paraId="30E153B3" w14:textId="77777777" w:rsidR="000975F8" w:rsidRPr="00805294" w:rsidRDefault="000975F8" w:rsidP="00632E14">
      <w:pPr>
        <w:pStyle w:val="Heading1"/>
      </w:pPr>
      <w:r w:rsidRPr="00805294">
        <w:t>Continuity</w:t>
      </w:r>
    </w:p>
    <w:p w14:paraId="4F54C34E" w14:textId="77777777" w:rsidR="000975F8" w:rsidRPr="00805294" w:rsidRDefault="000975F8" w:rsidP="0088387F">
      <w:p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ab/>
        <w:t xml:space="preserve">To perfect prescriptive title to property, a claimant must show that his adverse possession was continuous over the required statutory period.  </w:t>
      </w:r>
      <w:r w:rsidRPr="00805294">
        <w:rPr>
          <w:rFonts w:ascii="Times New Roman" w:hAnsi="Times New Roman" w:cs="Times New Roman"/>
          <w:i/>
          <w:sz w:val="24"/>
          <w:szCs w:val="24"/>
        </w:rPr>
        <w:t>See Smith v. Stacey</w:t>
      </w:r>
      <w:r w:rsidRPr="00805294">
        <w:rPr>
          <w:rFonts w:ascii="Times New Roman" w:hAnsi="Times New Roman" w:cs="Times New Roman"/>
          <w:sz w:val="24"/>
          <w:szCs w:val="24"/>
        </w:rPr>
        <w:t xml:space="preserve">, 281 Ga. 601, 603 (2007) (where possession of the claimant and his predecessors was not ever continuous for seven years or more, but rather was intermittent, with the property being vacant for various periods of time and interrupted by acts of possession of others, the jury was authorized to find that claimant failed to prove his claim of prescriptive title).  However, the “rule requiring continuity of possession is one of substance and not of absolute mathematical continuity. … Thus, there may be ‘slight intervals’ in which the prescriber or his agent is not actually upon the land or there may </w:t>
      </w:r>
      <w:r w:rsidRPr="00805294">
        <w:rPr>
          <w:rFonts w:ascii="Times New Roman" w:hAnsi="Times New Roman" w:cs="Times New Roman"/>
          <w:sz w:val="24"/>
          <w:szCs w:val="24"/>
        </w:rPr>
        <w:lastRenderedPageBreak/>
        <w:t>be ‘short intervals of tempo</w:t>
      </w:r>
      <w:r w:rsidR="002552B1" w:rsidRPr="00805294">
        <w:rPr>
          <w:rFonts w:ascii="Times New Roman" w:hAnsi="Times New Roman" w:cs="Times New Roman"/>
          <w:sz w:val="24"/>
          <w:szCs w:val="24"/>
        </w:rPr>
        <w:t>rary absence’ of such persons.”</w:t>
      </w:r>
      <w:r w:rsidR="002552B1" w:rsidRPr="00805294">
        <w:rPr>
          <w:rStyle w:val="FootnoteReference"/>
          <w:rFonts w:ascii="Times New Roman" w:hAnsi="Times New Roman" w:cs="Times New Roman"/>
          <w:sz w:val="24"/>
          <w:szCs w:val="24"/>
        </w:rPr>
        <w:footnoteReference w:id="42"/>
      </w:r>
      <w:r w:rsidRPr="00805294">
        <w:rPr>
          <w:rFonts w:ascii="Times New Roman" w:hAnsi="Times New Roman" w:cs="Times New Roman"/>
          <w:sz w:val="24"/>
          <w:szCs w:val="24"/>
        </w:rPr>
        <w:t xml:space="preserve"> </w:t>
      </w:r>
      <w:r w:rsidR="002552B1" w:rsidRPr="00805294">
        <w:rPr>
          <w:rFonts w:ascii="Times New Roman" w:hAnsi="Times New Roman" w:cs="Times New Roman"/>
          <w:sz w:val="24"/>
          <w:szCs w:val="24"/>
        </w:rPr>
        <w:t xml:space="preserve"> </w:t>
      </w:r>
      <w:r w:rsidRPr="00805294">
        <w:rPr>
          <w:rFonts w:ascii="Times New Roman" w:hAnsi="Times New Roman" w:cs="Times New Roman"/>
          <w:sz w:val="24"/>
          <w:szCs w:val="24"/>
        </w:rPr>
        <w:t>“But it is necessary that, during the whole time required for the ripening of such prescription, there should be something to give notice that another is doing acts or holding out such signs as to indicate the existence of a possession adverse</w:t>
      </w:r>
      <w:r w:rsidR="002552B1" w:rsidRPr="00805294">
        <w:rPr>
          <w:rFonts w:ascii="Times New Roman" w:hAnsi="Times New Roman" w:cs="Times New Roman"/>
          <w:sz w:val="24"/>
          <w:szCs w:val="24"/>
        </w:rPr>
        <w:t xml:space="preserve"> to the true owner.”</w:t>
      </w:r>
      <w:r w:rsidR="002552B1" w:rsidRPr="00805294">
        <w:rPr>
          <w:rStyle w:val="FootnoteReference"/>
          <w:rFonts w:ascii="Times New Roman" w:hAnsi="Times New Roman" w:cs="Times New Roman"/>
          <w:sz w:val="24"/>
          <w:szCs w:val="24"/>
        </w:rPr>
        <w:footnoteReference w:id="43"/>
      </w:r>
      <w:r w:rsidR="002552B1" w:rsidRPr="00805294">
        <w:rPr>
          <w:rFonts w:ascii="Times New Roman" w:hAnsi="Times New Roman" w:cs="Times New Roman"/>
          <w:sz w:val="24"/>
          <w:szCs w:val="24"/>
        </w:rPr>
        <w:t xml:space="preserve">  </w:t>
      </w:r>
      <w:r w:rsidRPr="00805294">
        <w:rPr>
          <w:rFonts w:ascii="Times New Roman" w:hAnsi="Times New Roman" w:cs="Times New Roman"/>
          <w:sz w:val="24"/>
          <w:szCs w:val="24"/>
        </w:rPr>
        <w:t>Therefore, simply passing through a disputed tract of land on one occasion and marking drill rods and pins on the property did not constitute continuous possession.</w:t>
      </w:r>
      <w:r w:rsidR="002552B1" w:rsidRPr="00805294">
        <w:rPr>
          <w:rStyle w:val="FootnoteReference"/>
          <w:rFonts w:ascii="Times New Roman" w:hAnsi="Times New Roman" w:cs="Times New Roman"/>
          <w:sz w:val="24"/>
          <w:szCs w:val="24"/>
        </w:rPr>
        <w:footnoteReference w:id="44"/>
      </w:r>
      <w:r w:rsidRPr="00805294">
        <w:rPr>
          <w:rFonts w:ascii="Times New Roman" w:hAnsi="Times New Roman" w:cs="Times New Roman"/>
          <w:sz w:val="24"/>
          <w:szCs w:val="24"/>
        </w:rPr>
        <w:t xml:space="preserve">  </w:t>
      </w:r>
    </w:p>
    <w:p w14:paraId="01D579E8" w14:textId="77777777" w:rsidR="000975F8" w:rsidRPr="00805294" w:rsidRDefault="000975F8" w:rsidP="0088387F">
      <w:p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ab/>
        <w:t xml:space="preserve">In </w:t>
      </w:r>
      <w:r w:rsidRPr="00805294">
        <w:rPr>
          <w:rFonts w:ascii="Times New Roman" w:hAnsi="Times New Roman" w:cs="Times New Roman"/>
          <w:i/>
          <w:sz w:val="24"/>
          <w:szCs w:val="24"/>
        </w:rPr>
        <w:t>Jackson v. Turner</w:t>
      </w:r>
      <w:r w:rsidRPr="00805294">
        <w:rPr>
          <w:rFonts w:ascii="Times New Roman" w:hAnsi="Times New Roman" w:cs="Times New Roman"/>
          <w:sz w:val="24"/>
          <w:szCs w:val="24"/>
        </w:rPr>
        <w:t>, 277 Ga. 58 (2003), as support for his ownership by adverse possession of a disputed tract, Jackson claimed that he grazed cattle, that he grew and cut hay, and that he built a barn partially located on the land.  But the evidence established that Jackson’s use of the tract was not continuous, exclusive, or uninterrupted for the required statutory period.</w:t>
      </w:r>
      <w:r w:rsidR="00B12FD4" w:rsidRPr="00805294">
        <w:rPr>
          <w:rStyle w:val="FootnoteReference"/>
          <w:rFonts w:ascii="Times New Roman" w:hAnsi="Times New Roman" w:cs="Times New Roman"/>
          <w:sz w:val="24"/>
          <w:szCs w:val="24"/>
        </w:rPr>
        <w:footnoteReference w:id="45"/>
      </w:r>
      <w:r w:rsidRPr="00805294">
        <w:rPr>
          <w:rFonts w:ascii="Times New Roman" w:hAnsi="Times New Roman" w:cs="Times New Roman"/>
          <w:sz w:val="24"/>
          <w:szCs w:val="24"/>
        </w:rPr>
        <w:t xml:space="preserve">  “Until the mid-1980’s when Jackson constructed a gate, the property was accessible to the general public and was used regularly by local teenagers for parties, drinking, and carousing.  It was also shown that Jackson did not keep cattle on the property during the entire prescriptive period …</w:t>
      </w:r>
      <w:r w:rsidR="00B12FD4" w:rsidRPr="00805294">
        <w:rPr>
          <w:rFonts w:ascii="Times New Roman" w:hAnsi="Times New Roman" w:cs="Times New Roman"/>
          <w:sz w:val="24"/>
          <w:szCs w:val="24"/>
        </w:rPr>
        <w:t>.</w:t>
      </w:r>
      <w:r w:rsidRPr="00805294">
        <w:rPr>
          <w:rFonts w:ascii="Times New Roman" w:hAnsi="Times New Roman" w:cs="Times New Roman"/>
          <w:sz w:val="24"/>
          <w:szCs w:val="24"/>
        </w:rPr>
        <w:t>”</w:t>
      </w:r>
      <w:r w:rsidR="00B12FD4" w:rsidRPr="00805294">
        <w:rPr>
          <w:rStyle w:val="FootnoteReference"/>
          <w:rFonts w:ascii="Times New Roman" w:hAnsi="Times New Roman" w:cs="Times New Roman"/>
          <w:sz w:val="24"/>
          <w:szCs w:val="24"/>
        </w:rPr>
        <w:footnoteReference w:id="46"/>
      </w:r>
      <w:r w:rsidR="00B12FD4" w:rsidRPr="00805294">
        <w:rPr>
          <w:rFonts w:ascii="Times New Roman" w:hAnsi="Times New Roman" w:cs="Times New Roman"/>
          <w:sz w:val="24"/>
          <w:szCs w:val="24"/>
        </w:rPr>
        <w:t xml:space="preserve"> </w:t>
      </w:r>
      <w:r w:rsidRPr="00805294">
        <w:rPr>
          <w:rFonts w:ascii="Times New Roman" w:hAnsi="Times New Roman" w:cs="Times New Roman"/>
          <w:sz w:val="24"/>
          <w:szCs w:val="24"/>
        </w:rPr>
        <w:t>The jury could have reasonably decided that this evidence demonstrated interruption of possession or lack of continuity and exclusivity such that Jackson’s claim for prescriptive title failed.</w:t>
      </w:r>
      <w:r w:rsidR="00B12FD4" w:rsidRPr="00805294">
        <w:rPr>
          <w:rStyle w:val="FootnoteReference"/>
          <w:rFonts w:ascii="Times New Roman" w:hAnsi="Times New Roman" w:cs="Times New Roman"/>
          <w:sz w:val="24"/>
          <w:szCs w:val="24"/>
        </w:rPr>
        <w:footnoteReference w:id="47"/>
      </w:r>
      <w:r w:rsidRPr="00805294">
        <w:rPr>
          <w:rFonts w:ascii="Times New Roman" w:hAnsi="Times New Roman" w:cs="Times New Roman"/>
          <w:sz w:val="24"/>
          <w:szCs w:val="24"/>
        </w:rPr>
        <w:t xml:space="preserve">  </w:t>
      </w:r>
    </w:p>
    <w:p w14:paraId="75B26257" w14:textId="77777777" w:rsidR="00F54021" w:rsidRDefault="00F54021">
      <w:pPr>
        <w:rPr>
          <w:rFonts w:ascii="Times New Roman" w:hAnsi="Times New Roman" w:cs="Times New Roman"/>
          <w:b/>
          <w:sz w:val="24"/>
          <w:szCs w:val="24"/>
          <w:u w:val="single"/>
        </w:rPr>
      </w:pPr>
      <w:r>
        <w:br w:type="page"/>
      </w:r>
    </w:p>
    <w:p w14:paraId="57739220" w14:textId="77777777" w:rsidR="000975F8" w:rsidRPr="00805294" w:rsidRDefault="000975F8" w:rsidP="00632E14">
      <w:pPr>
        <w:pStyle w:val="Heading1"/>
      </w:pPr>
      <w:r w:rsidRPr="00805294">
        <w:lastRenderedPageBreak/>
        <w:t>Claim of Right</w:t>
      </w:r>
    </w:p>
    <w:p w14:paraId="07B9C366" w14:textId="77777777" w:rsidR="000975F8" w:rsidRPr="00805294" w:rsidRDefault="000975F8" w:rsidP="0088387F">
      <w:p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ab/>
        <w:t>The “term ‘claim of right’ is synonymous with ‘claim of title’ and ‘claim of ownership.’  While this does not mean that the possession must be accompanied by a claim of title out of some predecessor, it does mean that there must be some claim of title in the sense that the possessor claims the property as his own.”</w:t>
      </w:r>
      <w:r w:rsidR="00B12FD4" w:rsidRPr="00805294">
        <w:rPr>
          <w:rStyle w:val="FootnoteReference"/>
          <w:rFonts w:ascii="Times New Roman" w:hAnsi="Times New Roman" w:cs="Times New Roman"/>
          <w:sz w:val="24"/>
          <w:szCs w:val="24"/>
        </w:rPr>
        <w:footnoteReference w:id="48"/>
      </w:r>
      <w:r w:rsidRPr="00805294">
        <w:rPr>
          <w:rFonts w:ascii="Times New Roman" w:hAnsi="Times New Roman" w:cs="Times New Roman"/>
          <w:sz w:val="24"/>
          <w:szCs w:val="24"/>
        </w:rPr>
        <w:t xml:space="preserve">    Where there are no allegations that the possession originated in fraud, the good faith of the adverse possessor is presumed.</w:t>
      </w:r>
      <w:r w:rsidR="00B12FD4" w:rsidRPr="00805294">
        <w:rPr>
          <w:rStyle w:val="FootnoteReference"/>
          <w:rFonts w:ascii="Times New Roman" w:hAnsi="Times New Roman" w:cs="Times New Roman"/>
          <w:sz w:val="24"/>
          <w:szCs w:val="24"/>
        </w:rPr>
        <w:footnoteReference w:id="49"/>
      </w:r>
      <w:r w:rsidRPr="00805294">
        <w:rPr>
          <w:rFonts w:ascii="Times New Roman" w:hAnsi="Times New Roman" w:cs="Times New Roman"/>
          <w:sz w:val="24"/>
          <w:szCs w:val="24"/>
        </w:rPr>
        <w:t xml:space="preserve">    Indeed, “no prescription runs in favor of one who took possession of land knowing that it did not belong to him.”</w:t>
      </w:r>
      <w:r w:rsidR="00426AE8" w:rsidRPr="00805294">
        <w:rPr>
          <w:rStyle w:val="FootnoteReference"/>
          <w:rFonts w:ascii="Times New Roman" w:hAnsi="Times New Roman" w:cs="Times New Roman"/>
          <w:sz w:val="24"/>
          <w:szCs w:val="24"/>
        </w:rPr>
        <w:footnoteReference w:id="50"/>
      </w:r>
      <w:r w:rsidRPr="00805294">
        <w:rPr>
          <w:rFonts w:ascii="Times New Roman" w:hAnsi="Times New Roman" w:cs="Times New Roman"/>
          <w:sz w:val="24"/>
          <w:szCs w:val="24"/>
        </w:rPr>
        <w:t xml:space="preserve">  </w:t>
      </w:r>
    </w:p>
    <w:p w14:paraId="7C89D780" w14:textId="77777777" w:rsidR="000975F8" w:rsidRPr="00805294" w:rsidRDefault="000975F8" w:rsidP="0088387F">
      <w:pPr>
        <w:spacing w:after="0" w:line="480" w:lineRule="auto"/>
        <w:ind w:firstLine="720"/>
        <w:jc w:val="both"/>
        <w:rPr>
          <w:rFonts w:ascii="Times New Roman" w:hAnsi="Times New Roman" w:cs="Times New Roman"/>
          <w:sz w:val="24"/>
          <w:szCs w:val="24"/>
        </w:rPr>
      </w:pPr>
      <w:r w:rsidRPr="00805294">
        <w:rPr>
          <w:rFonts w:ascii="Times New Roman" w:hAnsi="Times New Roman" w:cs="Times New Roman"/>
          <w:sz w:val="24"/>
          <w:szCs w:val="24"/>
        </w:rPr>
        <w:t xml:space="preserve">In </w:t>
      </w:r>
      <w:r w:rsidRPr="00805294">
        <w:rPr>
          <w:rFonts w:ascii="Times New Roman" w:hAnsi="Times New Roman" w:cs="Times New Roman"/>
          <w:i/>
          <w:sz w:val="24"/>
          <w:szCs w:val="24"/>
        </w:rPr>
        <w:t>Walker</w:t>
      </w:r>
      <w:r w:rsidRPr="00805294">
        <w:rPr>
          <w:rFonts w:ascii="Times New Roman" w:hAnsi="Times New Roman" w:cs="Times New Roman"/>
          <w:sz w:val="24"/>
          <w:szCs w:val="24"/>
        </w:rPr>
        <w:t>, the Georgia Supreme Court addressed whether the evidence allowed the reasonable inference that the plaintiffs performed acts on the property in question “under some claim that the property was theirs.”</w:t>
      </w:r>
      <w:r w:rsidR="00426AE8" w:rsidRPr="00805294">
        <w:rPr>
          <w:rStyle w:val="FootnoteReference"/>
          <w:rFonts w:ascii="Times New Roman" w:hAnsi="Times New Roman" w:cs="Times New Roman"/>
          <w:sz w:val="24"/>
          <w:szCs w:val="24"/>
        </w:rPr>
        <w:footnoteReference w:id="51"/>
      </w:r>
      <w:r w:rsidRPr="00805294">
        <w:rPr>
          <w:rFonts w:ascii="Times New Roman" w:hAnsi="Times New Roman" w:cs="Times New Roman"/>
          <w:sz w:val="24"/>
          <w:szCs w:val="24"/>
        </w:rPr>
        <w:t xml:space="preserve">  The plaintiffs produced an affidavit showing that: although Charles Walker, their predecessor in interest, lived on a different piece of property, the lot in question was known as the Charlie Walker tract; Charles Walker used the property to raise crops and livestock from at least 1937 onward; Charles Walker fenced the property and erected storage buildings on it; one of the plaintiffs assisted Charles Walker in maintaining the lot in question; and he continued to maintain it after the 1957 death of Charles Walker until 1969.</w:t>
      </w:r>
      <w:r w:rsidR="00426AE8" w:rsidRPr="00805294">
        <w:rPr>
          <w:rStyle w:val="FootnoteReference"/>
          <w:rFonts w:ascii="Times New Roman" w:hAnsi="Times New Roman" w:cs="Times New Roman"/>
          <w:sz w:val="24"/>
          <w:szCs w:val="24"/>
        </w:rPr>
        <w:footnoteReference w:id="52"/>
      </w:r>
      <w:r w:rsidRPr="00805294">
        <w:rPr>
          <w:rFonts w:ascii="Times New Roman" w:hAnsi="Times New Roman" w:cs="Times New Roman"/>
          <w:sz w:val="24"/>
          <w:szCs w:val="24"/>
        </w:rPr>
        <w:t xml:space="preserve">  The Court concluded that “[c]ontinuous farming of property, the erection of fences, and the construction of buildings are indicia of possession” sufficient to support the plaintiffs’ adverse possession claim to the property.</w:t>
      </w:r>
      <w:r w:rsidR="00426AE8" w:rsidRPr="00805294">
        <w:rPr>
          <w:rStyle w:val="FootnoteReference"/>
          <w:rFonts w:ascii="Times New Roman" w:hAnsi="Times New Roman" w:cs="Times New Roman"/>
          <w:sz w:val="24"/>
          <w:szCs w:val="24"/>
        </w:rPr>
        <w:footnoteReference w:id="53"/>
      </w:r>
      <w:r w:rsidRPr="00805294">
        <w:rPr>
          <w:rFonts w:ascii="Times New Roman" w:hAnsi="Times New Roman" w:cs="Times New Roman"/>
          <w:sz w:val="24"/>
          <w:szCs w:val="24"/>
        </w:rPr>
        <w:t xml:space="preserve">  Accordingly, the plaintiffs produced evidence raising a material question of </w:t>
      </w:r>
      <w:r w:rsidRPr="00805294">
        <w:rPr>
          <w:rFonts w:ascii="Times New Roman" w:hAnsi="Times New Roman" w:cs="Times New Roman"/>
          <w:sz w:val="24"/>
          <w:szCs w:val="24"/>
        </w:rPr>
        <w:lastRenderedPageBreak/>
        <w:t>fact as to whether they possessed the property under a claim of right, and the trial court erred in granting summary judgment against them.</w:t>
      </w:r>
      <w:r w:rsidR="00426AE8" w:rsidRPr="00805294">
        <w:rPr>
          <w:rStyle w:val="FootnoteReference"/>
          <w:rFonts w:ascii="Times New Roman" w:hAnsi="Times New Roman" w:cs="Times New Roman"/>
          <w:sz w:val="24"/>
          <w:szCs w:val="24"/>
        </w:rPr>
        <w:footnoteReference w:id="54"/>
      </w:r>
      <w:r w:rsidRPr="00805294">
        <w:rPr>
          <w:rFonts w:ascii="Times New Roman" w:hAnsi="Times New Roman" w:cs="Times New Roman"/>
          <w:sz w:val="24"/>
          <w:szCs w:val="24"/>
        </w:rPr>
        <w:t xml:space="preserve">  </w:t>
      </w:r>
    </w:p>
    <w:p w14:paraId="4F1D3339" w14:textId="77777777" w:rsidR="000975F8" w:rsidRPr="00805294" w:rsidRDefault="000975F8" w:rsidP="00632E14">
      <w:pPr>
        <w:pStyle w:val="Heading1"/>
      </w:pPr>
      <w:r w:rsidRPr="00805294">
        <w:t>Lack of Permissive Use</w:t>
      </w:r>
    </w:p>
    <w:p w14:paraId="2E42F6F0" w14:textId="77777777" w:rsidR="0088387F" w:rsidRPr="00805294" w:rsidRDefault="000975F8" w:rsidP="0088387F">
      <w:pPr>
        <w:spacing w:after="0" w:line="480" w:lineRule="auto"/>
        <w:jc w:val="both"/>
        <w:rPr>
          <w:rFonts w:ascii="Times New Roman" w:hAnsi="Times New Roman" w:cs="Times New Roman"/>
          <w:i/>
          <w:sz w:val="24"/>
          <w:szCs w:val="24"/>
        </w:rPr>
      </w:pPr>
      <w:r w:rsidRPr="00805294">
        <w:rPr>
          <w:rFonts w:ascii="Times New Roman" w:hAnsi="Times New Roman" w:cs="Times New Roman"/>
          <w:sz w:val="24"/>
          <w:szCs w:val="24"/>
        </w:rPr>
        <w:tab/>
        <w:t>“Permissive possession cannot be the foundation of a prescription until an adverse claim and actual notice to the other party.”</w:t>
      </w:r>
      <w:r w:rsidR="00415918" w:rsidRPr="00805294">
        <w:rPr>
          <w:rStyle w:val="FootnoteReference"/>
          <w:rFonts w:ascii="Times New Roman" w:hAnsi="Times New Roman" w:cs="Times New Roman"/>
          <w:sz w:val="24"/>
          <w:szCs w:val="24"/>
        </w:rPr>
        <w:footnoteReference w:id="55"/>
      </w:r>
      <w:r w:rsidRPr="00805294">
        <w:rPr>
          <w:rFonts w:ascii="Times New Roman" w:hAnsi="Times New Roman" w:cs="Times New Roman"/>
          <w:sz w:val="24"/>
          <w:szCs w:val="24"/>
        </w:rPr>
        <w:t xml:space="preserve">  In </w:t>
      </w:r>
      <w:r w:rsidRPr="00805294">
        <w:rPr>
          <w:rFonts w:ascii="Times New Roman" w:hAnsi="Times New Roman" w:cs="Times New Roman"/>
          <w:i/>
          <w:sz w:val="24"/>
          <w:szCs w:val="24"/>
        </w:rPr>
        <w:t>Congress Street Properties, LLC v. Garibaldi’s, Inc.</w:t>
      </w:r>
      <w:r w:rsidRPr="00805294">
        <w:rPr>
          <w:rFonts w:ascii="Times New Roman" w:hAnsi="Times New Roman" w:cs="Times New Roman"/>
          <w:sz w:val="24"/>
          <w:szCs w:val="24"/>
        </w:rPr>
        <w:t>, the Georgia Court of Appeals addressed the argument that a plaintiff claiming title to property by adverse possession is required to prove lack of permissive use as part of its case.  The parties owned adjacent property lots.</w:t>
      </w:r>
      <w:r w:rsidR="00415918" w:rsidRPr="00805294">
        <w:rPr>
          <w:rStyle w:val="FootnoteReference"/>
          <w:rFonts w:ascii="Times New Roman" w:hAnsi="Times New Roman" w:cs="Times New Roman"/>
          <w:sz w:val="24"/>
          <w:szCs w:val="24"/>
        </w:rPr>
        <w:footnoteReference w:id="56"/>
      </w:r>
      <w:r w:rsidRPr="00805294">
        <w:rPr>
          <w:rFonts w:ascii="Times New Roman" w:hAnsi="Times New Roman" w:cs="Times New Roman"/>
          <w:sz w:val="24"/>
          <w:szCs w:val="24"/>
        </w:rPr>
        <w:t xml:space="preserve">  Plaintiff acquired its property in 1979 and constructed a ventilation system on the outside of the west wall of its building which encroached onto the airspace above the adjoining property, owned by defendant’s predecessors in interest.</w:t>
      </w:r>
      <w:r w:rsidR="00415918" w:rsidRPr="00805294">
        <w:rPr>
          <w:rStyle w:val="FootnoteReference"/>
          <w:rFonts w:ascii="Times New Roman" w:hAnsi="Times New Roman" w:cs="Times New Roman"/>
          <w:sz w:val="24"/>
          <w:szCs w:val="24"/>
        </w:rPr>
        <w:footnoteReference w:id="57"/>
      </w:r>
      <w:r w:rsidRPr="00805294">
        <w:rPr>
          <w:rFonts w:ascii="Times New Roman" w:hAnsi="Times New Roman" w:cs="Times New Roman"/>
          <w:sz w:val="24"/>
          <w:szCs w:val="24"/>
        </w:rPr>
        <w:t xml:space="preserve">  The ventilation system has been in place since March 1980.</w:t>
      </w:r>
      <w:r w:rsidR="00415918" w:rsidRPr="00805294">
        <w:rPr>
          <w:rStyle w:val="FootnoteReference"/>
          <w:rFonts w:ascii="Times New Roman" w:hAnsi="Times New Roman" w:cs="Times New Roman"/>
          <w:sz w:val="24"/>
          <w:szCs w:val="24"/>
        </w:rPr>
        <w:footnoteReference w:id="58"/>
      </w:r>
      <w:r w:rsidRPr="00805294">
        <w:rPr>
          <w:rFonts w:ascii="Times New Roman" w:hAnsi="Times New Roman" w:cs="Times New Roman"/>
          <w:sz w:val="24"/>
          <w:szCs w:val="24"/>
        </w:rPr>
        <w:t xml:space="preserve">  Defendant purchased the adjacent property in 2002.</w:t>
      </w:r>
      <w:r w:rsidR="00415918" w:rsidRPr="00805294">
        <w:rPr>
          <w:rStyle w:val="FootnoteReference"/>
          <w:rFonts w:ascii="Times New Roman" w:hAnsi="Times New Roman" w:cs="Times New Roman"/>
          <w:sz w:val="24"/>
          <w:szCs w:val="24"/>
        </w:rPr>
        <w:footnoteReference w:id="59"/>
      </w:r>
      <w:r w:rsidRPr="00805294">
        <w:rPr>
          <w:rFonts w:ascii="Times New Roman" w:hAnsi="Times New Roman" w:cs="Times New Roman"/>
          <w:sz w:val="24"/>
          <w:szCs w:val="24"/>
        </w:rPr>
        <w:t xml:space="preserve">  Prior to closing, plaintiff received a request from defendant’s predecessors in interest to sign a document acknowledging that the ventilation system encroached onto the neighboring property and agreeing to remove it if requested to do so.</w:t>
      </w:r>
      <w:r w:rsidR="00415918" w:rsidRPr="00805294">
        <w:rPr>
          <w:rStyle w:val="FootnoteReference"/>
          <w:rFonts w:ascii="Times New Roman" w:hAnsi="Times New Roman" w:cs="Times New Roman"/>
          <w:sz w:val="24"/>
          <w:szCs w:val="24"/>
        </w:rPr>
        <w:footnoteReference w:id="60"/>
      </w:r>
      <w:r w:rsidRPr="00805294">
        <w:rPr>
          <w:rFonts w:ascii="Times New Roman" w:hAnsi="Times New Roman" w:cs="Times New Roman"/>
          <w:sz w:val="24"/>
          <w:szCs w:val="24"/>
        </w:rPr>
        <w:t xml:space="preserve">  Plaintiff declined this request.</w:t>
      </w:r>
      <w:r w:rsidR="00415918" w:rsidRPr="00805294">
        <w:rPr>
          <w:rStyle w:val="FootnoteReference"/>
          <w:rFonts w:ascii="Times New Roman" w:hAnsi="Times New Roman" w:cs="Times New Roman"/>
          <w:sz w:val="24"/>
          <w:szCs w:val="24"/>
        </w:rPr>
        <w:footnoteReference w:id="61"/>
      </w:r>
      <w:r w:rsidRPr="00805294">
        <w:rPr>
          <w:rFonts w:ascii="Times New Roman" w:hAnsi="Times New Roman" w:cs="Times New Roman"/>
          <w:sz w:val="24"/>
          <w:szCs w:val="24"/>
        </w:rPr>
        <w:t xml:space="preserve">  In June 2009, defendant demanded that plaintiff remove the ventilation system, and plaintiff filed a declaratory judgment action, asserting that it had adversely possessed the space occupied by the ventilation system through its open and continuous use for more than 29 years.</w:t>
      </w:r>
      <w:r w:rsidR="00415918" w:rsidRPr="00805294">
        <w:rPr>
          <w:rStyle w:val="FootnoteReference"/>
          <w:rFonts w:ascii="Times New Roman" w:hAnsi="Times New Roman" w:cs="Times New Roman"/>
          <w:sz w:val="24"/>
          <w:szCs w:val="24"/>
        </w:rPr>
        <w:footnoteReference w:id="62"/>
      </w:r>
      <w:r w:rsidRPr="00805294">
        <w:rPr>
          <w:rFonts w:ascii="Times New Roman" w:hAnsi="Times New Roman" w:cs="Times New Roman"/>
          <w:sz w:val="24"/>
          <w:szCs w:val="24"/>
        </w:rPr>
        <w:t xml:space="preserve">  </w:t>
      </w:r>
      <w:r w:rsidRPr="00805294">
        <w:rPr>
          <w:rFonts w:ascii="Times New Roman" w:hAnsi="Times New Roman" w:cs="Times New Roman"/>
          <w:sz w:val="24"/>
          <w:szCs w:val="24"/>
        </w:rPr>
        <w:lastRenderedPageBreak/>
        <w:t>Plaintiff filed an affidavit from its CFO, asserting that her father was responsible for acquiring its property and that she was unaware of any agreement reached between him and defendant’s predecessors in interest regarding the encroachment of the ventilation system onto the latter’s property.</w:t>
      </w:r>
      <w:r w:rsidR="00415918" w:rsidRPr="00805294">
        <w:rPr>
          <w:rStyle w:val="FootnoteReference"/>
          <w:rFonts w:ascii="Times New Roman" w:hAnsi="Times New Roman" w:cs="Times New Roman"/>
          <w:sz w:val="24"/>
          <w:szCs w:val="24"/>
        </w:rPr>
        <w:footnoteReference w:id="63"/>
      </w:r>
      <w:r w:rsidRPr="00805294">
        <w:rPr>
          <w:rFonts w:ascii="Times New Roman" w:hAnsi="Times New Roman" w:cs="Times New Roman"/>
          <w:sz w:val="24"/>
          <w:szCs w:val="24"/>
        </w:rPr>
        <w:t xml:space="preserve">  The trial court granted summary judgment to plaintiff, holding that its use of the airspace occupied by its ventilation system since 1980 had been public, continuous, exclusive, uninterrupted, peaceable, and did not originate in fraud.</w:t>
      </w:r>
      <w:r w:rsidR="00415918" w:rsidRPr="00805294">
        <w:rPr>
          <w:rStyle w:val="FootnoteReference"/>
          <w:rFonts w:ascii="Times New Roman" w:hAnsi="Times New Roman" w:cs="Times New Roman"/>
          <w:sz w:val="24"/>
          <w:szCs w:val="24"/>
        </w:rPr>
        <w:footnoteReference w:id="64"/>
      </w:r>
      <w:r w:rsidRPr="00805294">
        <w:rPr>
          <w:rFonts w:ascii="Times New Roman" w:hAnsi="Times New Roman" w:cs="Times New Roman"/>
          <w:sz w:val="24"/>
          <w:szCs w:val="24"/>
        </w:rPr>
        <w:t xml:space="preserve">  The trial court further held that there was no evidence in the record that demonstrates plaintiff had permission from the adjoining landowner when the ventilation system was originally built.</w:t>
      </w:r>
      <w:r w:rsidR="00415918" w:rsidRPr="00805294">
        <w:rPr>
          <w:rStyle w:val="FootnoteReference"/>
          <w:rFonts w:ascii="Times New Roman" w:hAnsi="Times New Roman" w:cs="Times New Roman"/>
          <w:sz w:val="24"/>
          <w:szCs w:val="24"/>
        </w:rPr>
        <w:footnoteReference w:id="65"/>
      </w:r>
      <w:r w:rsidRPr="00805294">
        <w:rPr>
          <w:rFonts w:ascii="Times New Roman" w:hAnsi="Times New Roman" w:cs="Times New Roman"/>
          <w:sz w:val="24"/>
          <w:szCs w:val="24"/>
        </w:rPr>
        <w:t xml:space="preserve">  </w:t>
      </w:r>
    </w:p>
    <w:p w14:paraId="5A0817DF" w14:textId="77777777" w:rsidR="000975F8" w:rsidRPr="00805294" w:rsidRDefault="000975F8" w:rsidP="0088387F">
      <w:pPr>
        <w:spacing w:after="0" w:line="480" w:lineRule="auto"/>
        <w:ind w:firstLine="720"/>
        <w:jc w:val="both"/>
        <w:rPr>
          <w:rFonts w:ascii="Times New Roman" w:hAnsi="Times New Roman" w:cs="Times New Roman"/>
          <w:sz w:val="24"/>
          <w:szCs w:val="24"/>
        </w:rPr>
      </w:pPr>
      <w:r w:rsidRPr="00805294">
        <w:rPr>
          <w:rFonts w:ascii="Times New Roman" w:hAnsi="Times New Roman" w:cs="Times New Roman"/>
          <w:sz w:val="24"/>
          <w:szCs w:val="24"/>
        </w:rPr>
        <w:t>The Georgia Court of Appeals held that there was no dispute that for a period of more than 20 years, plaintiff’s possession of the airspace occupied by its ventilation system had been public, continuous, exclusive, uninterrupted, and peaceable.</w:t>
      </w:r>
      <w:r w:rsidR="00415918" w:rsidRPr="00805294">
        <w:rPr>
          <w:rStyle w:val="FootnoteReference"/>
          <w:rFonts w:ascii="Times New Roman" w:hAnsi="Times New Roman" w:cs="Times New Roman"/>
          <w:sz w:val="24"/>
          <w:szCs w:val="24"/>
        </w:rPr>
        <w:footnoteReference w:id="66"/>
      </w:r>
      <w:r w:rsidRPr="00805294">
        <w:rPr>
          <w:rFonts w:ascii="Times New Roman" w:hAnsi="Times New Roman" w:cs="Times New Roman"/>
          <w:sz w:val="24"/>
          <w:szCs w:val="24"/>
        </w:rPr>
        <w:t xml:space="preserve">  Possession under a claim of right was presumed because of plaintiff’s assertion of dominion, and there was no allegation that the possession originated in fraud.</w:t>
      </w:r>
      <w:r w:rsidR="00415918" w:rsidRPr="00805294">
        <w:rPr>
          <w:rStyle w:val="FootnoteReference"/>
          <w:rFonts w:ascii="Times New Roman" w:hAnsi="Times New Roman" w:cs="Times New Roman"/>
          <w:sz w:val="24"/>
          <w:szCs w:val="24"/>
        </w:rPr>
        <w:footnoteReference w:id="67"/>
      </w:r>
      <w:r w:rsidRPr="00805294">
        <w:rPr>
          <w:rFonts w:ascii="Times New Roman" w:hAnsi="Times New Roman" w:cs="Times New Roman"/>
          <w:sz w:val="24"/>
          <w:szCs w:val="24"/>
        </w:rPr>
        <w:t xml:space="preserve">  The court further held that plaintiff did not have the burden to prove that its use of the airspace was not permissive as part of its prima facie case.  Rather, in accordance with the plain language of O.C.G.A. § 44-5-161 and applicable Georgia law, plaintiff satisfied its burden once it established by a preponderance of the evidence each of the elements explicitly set forth in O.C.G.A. § 44-5-161(a).</w:t>
      </w:r>
      <w:r w:rsidR="00763992" w:rsidRPr="00805294">
        <w:rPr>
          <w:rStyle w:val="FootnoteReference"/>
          <w:rFonts w:ascii="Times New Roman" w:hAnsi="Times New Roman" w:cs="Times New Roman"/>
          <w:sz w:val="24"/>
          <w:szCs w:val="24"/>
        </w:rPr>
        <w:footnoteReference w:id="68"/>
      </w:r>
      <w:r w:rsidRPr="00805294">
        <w:rPr>
          <w:rFonts w:ascii="Times New Roman" w:hAnsi="Times New Roman" w:cs="Times New Roman"/>
          <w:sz w:val="24"/>
          <w:szCs w:val="24"/>
        </w:rPr>
        <w:t xml:space="preserve">  Once it did so, the burden then shifted to defendant to rebut the presumption of adverse possession with evidence of permissive use.</w:t>
      </w:r>
      <w:r w:rsidR="00763992" w:rsidRPr="00805294">
        <w:rPr>
          <w:rStyle w:val="FootnoteReference"/>
          <w:rFonts w:ascii="Times New Roman" w:hAnsi="Times New Roman" w:cs="Times New Roman"/>
          <w:sz w:val="24"/>
          <w:szCs w:val="24"/>
        </w:rPr>
        <w:footnoteReference w:id="69"/>
      </w:r>
      <w:r w:rsidRPr="00805294">
        <w:rPr>
          <w:rFonts w:ascii="Times New Roman" w:hAnsi="Times New Roman" w:cs="Times New Roman"/>
          <w:sz w:val="24"/>
          <w:szCs w:val="24"/>
        </w:rPr>
        <w:t xml:space="preserve">  “To hold otherwise would not only inject into O.C.G.A. § 44-5-161(a) an additional essential element </w:t>
      </w:r>
      <w:r w:rsidRPr="00805294">
        <w:rPr>
          <w:rFonts w:ascii="Times New Roman" w:hAnsi="Times New Roman" w:cs="Times New Roman"/>
          <w:sz w:val="24"/>
          <w:szCs w:val="24"/>
        </w:rPr>
        <w:lastRenderedPageBreak/>
        <w:t>of the claim that was not included by the legislature, but also would place upon the adverse possessor the burden of proving a negative fact.”</w:t>
      </w:r>
      <w:r w:rsidR="0068271A" w:rsidRPr="00805294">
        <w:rPr>
          <w:rStyle w:val="FootnoteReference"/>
          <w:rFonts w:ascii="Times New Roman" w:hAnsi="Times New Roman" w:cs="Times New Roman"/>
          <w:sz w:val="24"/>
          <w:szCs w:val="24"/>
        </w:rPr>
        <w:footnoteReference w:id="70"/>
      </w:r>
      <w:r w:rsidRPr="00805294">
        <w:rPr>
          <w:rFonts w:ascii="Times New Roman" w:hAnsi="Times New Roman" w:cs="Times New Roman"/>
          <w:sz w:val="24"/>
          <w:szCs w:val="24"/>
        </w:rPr>
        <w:t xml:space="preserve">  Because defendant was unable to present any evidence of permissive use sufficient to rebut plaintiff’s evidence of adverse possession, the trial court did not err in granting plaintiff’s motion for summary judgment.</w:t>
      </w:r>
      <w:r w:rsidR="0068271A" w:rsidRPr="00805294">
        <w:rPr>
          <w:rStyle w:val="FootnoteReference"/>
          <w:rFonts w:ascii="Times New Roman" w:hAnsi="Times New Roman" w:cs="Times New Roman"/>
          <w:sz w:val="24"/>
          <w:szCs w:val="24"/>
        </w:rPr>
        <w:footnoteReference w:id="71"/>
      </w:r>
      <w:r w:rsidRPr="00805294">
        <w:rPr>
          <w:rFonts w:ascii="Times New Roman" w:hAnsi="Times New Roman" w:cs="Times New Roman"/>
          <w:sz w:val="24"/>
          <w:szCs w:val="24"/>
        </w:rPr>
        <w:t xml:space="preserve">  </w:t>
      </w:r>
    </w:p>
    <w:p w14:paraId="0388B92E" w14:textId="77777777" w:rsidR="000975F8" w:rsidRPr="00805294" w:rsidRDefault="000975F8" w:rsidP="00632E14">
      <w:pPr>
        <w:pStyle w:val="Heading1"/>
      </w:pPr>
      <w:r w:rsidRPr="00805294">
        <w:t>Cotenants</w:t>
      </w:r>
    </w:p>
    <w:p w14:paraId="2F34D428" w14:textId="77777777" w:rsidR="000975F8" w:rsidRPr="00805294" w:rsidRDefault="000975F8" w:rsidP="0088387F">
      <w:pPr>
        <w:spacing w:line="480" w:lineRule="auto"/>
        <w:jc w:val="both"/>
        <w:rPr>
          <w:rFonts w:ascii="Times New Roman" w:hAnsi="Times New Roman" w:cs="Times New Roman"/>
          <w:sz w:val="24"/>
          <w:szCs w:val="24"/>
        </w:rPr>
      </w:pPr>
      <w:r w:rsidRPr="00805294">
        <w:rPr>
          <w:rFonts w:ascii="Times New Roman" w:hAnsi="Times New Roman" w:cs="Times New Roman"/>
          <w:sz w:val="24"/>
          <w:szCs w:val="24"/>
        </w:rPr>
        <w:tab/>
        <w:t>“A party who asserts a claim of title by adverse possession against a cotenant has the burden of proving not only the usual elements of prescription … but also at least one of the elements of O.C.G.A. § 44-6-123, which provides as follows: ‘There may be no adverse possession against a cotenant until the adverse possessor effects an actual ouster, retains exclusive possession after demand, or gives his cotenant express notice of adverse possession.’”</w:t>
      </w:r>
      <w:r w:rsidR="0068271A" w:rsidRPr="00805294">
        <w:rPr>
          <w:rStyle w:val="FootnoteReference"/>
          <w:rFonts w:ascii="Times New Roman" w:hAnsi="Times New Roman" w:cs="Times New Roman"/>
          <w:sz w:val="24"/>
          <w:szCs w:val="24"/>
        </w:rPr>
        <w:footnoteReference w:id="72"/>
      </w:r>
      <w:r w:rsidRPr="00805294">
        <w:rPr>
          <w:rFonts w:ascii="Times New Roman" w:hAnsi="Times New Roman" w:cs="Times New Roman"/>
          <w:sz w:val="24"/>
          <w:szCs w:val="24"/>
        </w:rPr>
        <w:t xml:space="preserve">  Where one cotenant submitted an affidavit that a fellow cotenant claiming adverse possession took no action to oust his cotenants, to demand and retain exclusive possession, or to give actual notice of adverse possession, the burden then shifted to the cotenant claiming adverse possession to point to facts giving rise to a conflict on the issue.</w:t>
      </w:r>
      <w:r w:rsidR="0068271A" w:rsidRPr="00805294">
        <w:rPr>
          <w:rStyle w:val="FootnoteReference"/>
          <w:rFonts w:ascii="Times New Roman" w:hAnsi="Times New Roman" w:cs="Times New Roman"/>
          <w:sz w:val="24"/>
          <w:szCs w:val="24"/>
        </w:rPr>
        <w:footnoteReference w:id="73"/>
      </w:r>
      <w:r w:rsidRPr="00805294">
        <w:rPr>
          <w:rFonts w:ascii="Times New Roman" w:hAnsi="Times New Roman" w:cs="Times New Roman"/>
          <w:sz w:val="24"/>
          <w:szCs w:val="24"/>
        </w:rPr>
        <w:t xml:space="preserve">  But the cotenant claiming adverse possession submitted an affidavit showing only that he paid taxes on the property, that his cotenants did not use the property, and that they never questioned his right </w:t>
      </w:r>
      <w:r w:rsidRPr="00805294">
        <w:rPr>
          <w:rFonts w:ascii="Times New Roman" w:hAnsi="Times New Roman" w:cs="Times New Roman"/>
          <w:sz w:val="24"/>
          <w:szCs w:val="24"/>
        </w:rPr>
        <w:lastRenderedPageBreak/>
        <w:t>to be on the property; these averments did not suffice to establish an ouster or to satisfy an “express notice” of a “hostile claim” criterion.</w:t>
      </w:r>
      <w:r w:rsidR="0068271A" w:rsidRPr="00805294">
        <w:rPr>
          <w:rStyle w:val="FootnoteReference"/>
          <w:rFonts w:ascii="Times New Roman" w:hAnsi="Times New Roman" w:cs="Times New Roman"/>
          <w:sz w:val="24"/>
          <w:szCs w:val="24"/>
        </w:rPr>
        <w:footnoteReference w:id="74"/>
      </w:r>
      <w:r w:rsidRPr="00805294">
        <w:rPr>
          <w:rFonts w:ascii="Times New Roman" w:hAnsi="Times New Roman" w:cs="Times New Roman"/>
          <w:sz w:val="24"/>
          <w:szCs w:val="24"/>
        </w:rPr>
        <w:t xml:space="preserve">  The Georgia Supreme Court explained:</w:t>
      </w:r>
    </w:p>
    <w:p w14:paraId="18BBD016" w14:textId="77777777" w:rsidR="000975F8" w:rsidRPr="00805294" w:rsidRDefault="000975F8" w:rsidP="009E5E21">
      <w:pPr>
        <w:spacing w:after="0" w:line="240" w:lineRule="auto"/>
        <w:ind w:left="720" w:right="720"/>
        <w:jc w:val="both"/>
        <w:rPr>
          <w:rFonts w:ascii="Times New Roman" w:hAnsi="Times New Roman" w:cs="Times New Roman"/>
          <w:sz w:val="24"/>
          <w:szCs w:val="24"/>
        </w:rPr>
      </w:pPr>
      <w:r w:rsidRPr="00805294">
        <w:rPr>
          <w:rFonts w:ascii="Times New Roman" w:hAnsi="Times New Roman" w:cs="Times New Roman"/>
          <w:sz w:val="24"/>
          <w:szCs w:val="24"/>
        </w:rPr>
        <w:t>The entry and possession of one joint tenant or tenant in common being,</w:t>
      </w:r>
      <w:r w:rsidR="009E5E21" w:rsidRPr="00805294">
        <w:rPr>
          <w:rFonts w:ascii="Times New Roman" w:hAnsi="Times New Roman" w:cs="Times New Roman"/>
          <w:sz w:val="24"/>
          <w:szCs w:val="24"/>
        </w:rPr>
        <w:t xml:space="preserve"> </w:t>
      </w:r>
      <w:r w:rsidRPr="00805294">
        <w:rPr>
          <w:rFonts w:ascii="Times New Roman" w:hAnsi="Times New Roman" w:cs="Times New Roman"/>
          <w:sz w:val="24"/>
          <w:szCs w:val="24"/>
        </w:rPr>
        <w:t>prima facie, in support of his cotenant’s title, to constitute an adverse</w:t>
      </w:r>
      <w:r w:rsidR="009E5E21" w:rsidRPr="00805294">
        <w:rPr>
          <w:rFonts w:ascii="Times New Roman" w:hAnsi="Times New Roman" w:cs="Times New Roman"/>
          <w:sz w:val="24"/>
          <w:szCs w:val="24"/>
        </w:rPr>
        <w:t xml:space="preserve"> </w:t>
      </w:r>
      <w:r w:rsidRPr="00805294">
        <w:rPr>
          <w:rFonts w:ascii="Times New Roman" w:hAnsi="Times New Roman" w:cs="Times New Roman"/>
          <w:sz w:val="24"/>
          <w:szCs w:val="24"/>
        </w:rPr>
        <w:t>possession there must be some notorious and unequivocal act indicating</w:t>
      </w:r>
      <w:r w:rsidR="009E5E21" w:rsidRPr="00805294">
        <w:rPr>
          <w:rFonts w:ascii="Times New Roman" w:hAnsi="Times New Roman" w:cs="Times New Roman"/>
          <w:sz w:val="24"/>
          <w:szCs w:val="24"/>
        </w:rPr>
        <w:t xml:space="preserve"> </w:t>
      </w:r>
      <w:r w:rsidRPr="00805294">
        <w:rPr>
          <w:rFonts w:ascii="Times New Roman" w:hAnsi="Times New Roman" w:cs="Times New Roman"/>
          <w:sz w:val="24"/>
          <w:szCs w:val="24"/>
        </w:rPr>
        <w:t>an intention to hold adversely, or an actual disseisin or ouster.  The silent</w:t>
      </w:r>
      <w:r w:rsidR="009E5E21" w:rsidRPr="00805294">
        <w:rPr>
          <w:rFonts w:ascii="Times New Roman" w:hAnsi="Times New Roman" w:cs="Times New Roman"/>
          <w:sz w:val="24"/>
          <w:szCs w:val="24"/>
        </w:rPr>
        <w:t xml:space="preserve"> </w:t>
      </w:r>
      <w:r w:rsidRPr="00805294">
        <w:rPr>
          <w:rFonts w:ascii="Times New Roman" w:hAnsi="Times New Roman" w:cs="Times New Roman"/>
          <w:sz w:val="24"/>
          <w:szCs w:val="24"/>
        </w:rPr>
        <w:t xml:space="preserve">and peaceable possession of one tenant, with </w:t>
      </w:r>
      <w:r w:rsidRPr="00805294">
        <w:rPr>
          <w:rFonts w:ascii="Times New Roman" w:hAnsi="Times New Roman" w:cs="Times New Roman"/>
          <w:sz w:val="24"/>
          <w:szCs w:val="24"/>
          <w:u w:val="single"/>
        </w:rPr>
        <w:t>no</w:t>
      </w:r>
      <w:r w:rsidRPr="00805294">
        <w:rPr>
          <w:rFonts w:ascii="Times New Roman" w:hAnsi="Times New Roman" w:cs="Times New Roman"/>
          <w:sz w:val="24"/>
          <w:szCs w:val="24"/>
        </w:rPr>
        <w:t xml:space="preserve"> act which can amount to an ouster of his cotenants is not adverse; so either actual notice of the</w:t>
      </w:r>
      <w:r w:rsidR="009E5E21" w:rsidRPr="00805294">
        <w:rPr>
          <w:rFonts w:ascii="Times New Roman" w:hAnsi="Times New Roman" w:cs="Times New Roman"/>
          <w:sz w:val="24"/>
          <w:szCs w:val="24"/>
        </w:rPr>
        <w:t xml:space="preserve"> </w:t>
      </w:r>
      <w:r w:rsidRPr="00805294">
        <w:rPr>
          <w:rFonts w:ascii="Times New Roman" w:hAnsi="Times New Roman" w:cs="Times New Roman"/>
          <w:sz w:val="24"/>
          <w:szCs w:val="24"/>
        </w:rPr>
        <w:t>adverse claim must be brought home to the latter, or there must have been</w:t>
      </w:r>
      <w:r w:rsidR="009E5E21" w:rsidRPr="00805294">
        <w:rPr>
          <w:rFonts w:ascii="Times New Roman" w:hAnsi="Times New Roman" w:cs="Times New Roman"/>
          <w:sz w:val="24"/>
          <w:szCs w:val="24"/>
        </w:rPr>
        <w:t xml:space="preserve"> </w:t>
      </w:r>
      <w:r w:rsidRPr="00805294">
        <w:rPr>
          <w:rFonts w:ascii="Times New Roman" w:hAnsi="Times New Roman" w:cs="Times New Roman"/>
          <w:sz w:val="24"/>
          <w:szCs w:val="24"/>
        </w:rPr>
        <w:t>unequivocal acts, open and public, ma</w:t>
      </w:r>
      <w:r w:rsidR="0088387F" w:rsidRPr="00805294">
        <w:rPr>
          <w:rFonts w:ascii="Times New Roman" w:hAnsi="Times New Roman" w:cs="Times New Roman"/>
          <w:sz w:val="24"/>
          <w:szCs w:val="24"/>
        </w:rPr>
        <w:t xml:space="preserve">king the possession so visible, </w:t>
      </w:r>
      <w:r w:rsidRPr="00805294">
        <w:rPr>
          <w:rFonts w:ascii="Times New Roman" w:hAnsi="Times New Roman" w:cs="Times New Roman"/>
          <w:sz w:val="24"/>
          <w:szCs w:val="24"/>
        </w:rPr>
        <w:t>hostile,</w:t>
      </w:r>
      <w:r w:rsidR="009E5E21" w:rsidRPr="00805294">
        <w:rPr>
          <w:rFonts w:ascii="Times New Roman" w:hAnsi="Times New Roman" w:cs="Times New Roman"/>
          <w:sz w:val="24"/>
          <w:szCs w:val="24"/>
        </w:rPr>
        <w:t xml:space="preserve"> </w:t>
      </w:r>
      <w:r w:rsidRPr="00805294">
        <w:rPr>
          <w:rFonts w:ascii="Times New Roman" w:hAnsi="Times New Roman" w:cs="Times New Roman"/>
          <w:sz w:val="24"/>
          <w:szCs w:val="24"/>
        </w:rPr>
        <w:t>exclusive, and notorious that notice may fairly be presumed, and the</w:t>
      </w:r>
      <w:r w:rsidR="009E5E21" w:rsidRPr="00805294">
        <w:rPr>
          <w:rFonts w:ascii="Times New Roman" w:hAnsi="Times New Roman" w:cs="Times New Roman"/>
          <w:sz w:val="24"/>
          <w:szCs w:val="24"/>
        </w:rPr>
        <w:t xml:space="preserve"> </w:t>
      </w:r>
      <w:r w:rsidRPr="00805294">
        <w:rPr>
          <w:rFonts w:ascii="Times New Roman" w:hAnsi="Times New Roman" w:cs="Times New Roman"/>
          <w:sz w:val="24"/>
          <w:szCs w:val="24"/>
        </w:rPr>
        <w:t>statute of limitations will begin to run only from the time of such notice.</w:t>
      </w:r>
      <w:r w:rsidR="009E5E21" w:rsidRPr="00805294">
        <w:rPr>
          <w:rFonts w:ascii="Times New Roman" w:hAnsi="Times New Roman" w:cs="Times New Roman"/>
          <w:sz w:val="24"/>
          <w:szCs w:val="24"/>
        </w:rPr>
        <w:t xml:space="preserve"> </w:t>
      </w:r>
      <w:r w:rsidRPr="00805294">
        <w:rPr>
          <w:rFonts w:ascii="Times New Roman" w:hAnsi="Times New Roman" w:cs="Times New Roman"/>
          <w:sz w:val="24"/>
          <w:szCs w:val="24"/>
        </w:rPr>
        <w:t>Exclusive possession, therefore, by a cotenant alone will be presumed not</w:t>
      </w:r>
      <w:r w:rsidR="009E5E21" w:rsidRPr="00805294">
        <w:rPr>
          <w:rFonts w:ascii="Times New Roman" w:hAnsi="Times New Roman" w:cs="Times New Roman"/>
          <w:sz w:val="24"/>
          <w:szCs w:val="24"/>
        </w:rPr>
        <w:t xml:space="preserve"> </w:t>
      </w:r>
      <w:r w:rsidRPr="00805294">
        <w:rPr>
          <w:rFonts w:ascii="Times New Roman" w:hAnsi="Times New Roman" w:cs="Times New Roman"/>
          <w:sz w:val="24"/>
          <w:szCs w:val="24"/>
        </w:rPr>
        <w:t>an adverse holding, but simply one in support of the common title.</w:t>
      </w:r>
      <w:r w:rsidR="004B4515" w:rsidRPr="00805294">
        <w:rPr>
          <w:rStyle w:val="FootnoteReference"/>
          <w:rFonts w:ascii="Times New Roman" w:hAnsi="Times New Roman" w:cs="Times New Roman"/>
          <w:sz w:val="24"/>
          <w:szCs w:val="24"/>
        </w:rPr>
        <w:footnoteReference w:id="75"/>
      </w:r>
    </w:p>
    <w:p w14:paraId="782A8F64" w14:textId="77777777" w:rsidR="0088387F" w:rsidRPr="00805294" w:rsidRDefault="0088387F" w:rsidP="0088387F">
      <w:pPr>
        <w:spacing w:after="0" w:line="240" w:lineRule="auto"/>
        <w:rPr>
          <w:rFonts w:ascii="Times New Roman" w:hAnsi="Times New Roman" w:cs="Times New Roman"/>
          <w:sz w:val="24"/>
          <w:szCs w:val="24"/>
        </w:rPr>
      </w:pPr>
    </w:p>
    <w:p w14:paraId="13CBE066" w14:textId="77777777" w:rsidR="008A369A" w:rsidRPr="00805294" w:rsidRDefault="008A369A" w:rsidP="00632E14">
      <w:pPr>
        <w:pStyle w:val="Heading1"/>
      </w:pPr>
      <w:r w:rsidRPr="00805294">
        <w:t>Predecessors in Interest</w:t>
      </w:r>
    </w:p>
    <w:p w14:paraId="0F6C6048" w14:textId="77777777" w:rsidR="008A369A" w:rsidRPr="00805294" w:rsidRDefault="008A369A" w:rsidP="008A369A">
      <w:p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ab/>
        <w:t>The Georgia courts have consistently considered the actions of predecessors in interest of a party seeking title to property through adverse possession in determining if the statutory requirements are met.</w:t>
      </w:r>
      <w:r w:rsidR="004B4515" w:rsidRPr="00805294">
        <w:rPr>
          <w:rStyle w:val="FootnoteReference"/>
          <w:rFonts w:ascii="Times New Roman" w:hAnsi="Times New Roman" w:cs="Times New Roman"/>
          <w:sz w:val="24"/>
          <w:szCs w:val="24"/>
        </w:rPr>
        <w:footnoteReference w:id="76"/>
      </w:r>
      <w:r w:rsidRPr="00805294">
        <w:rPr>
          <w:rFonts w:ascii="Times New Roman" w:hAnsi="Times New Roman" w:cs="Times New Roman"/>
          <w:sz w:val="24"/>
          <w:szCs w:val="24"/>
        </w:rPr>
        <w:t xml:space="preserve">  </w:t>
      </w:r>
    </w:p>
    <w:p w14:paraId="4BB6589D" w14:textId="77777777" w:rsidR="008A369A" w:rsidRPr="00805294" w:rsidRDefault="008A369A" w:rsidP="00525983">
      <w:pPr>
        <w:spacing w:after="0" w:line="480" w:lineRule="auto"/>
        <w:ind w:firstLine="720"/>
        <w:jc w:val="both"/>
        <w:rPr>
          <w:rFonts w:ascii="Times New Roman" w:hAnsi="Times New Roman" w:cs="Times New Roman"/>
          <w:sz w:val="24"/>
          <w:szCs w:val="24"/>
        </w:rPr>
      </w:pPr>
      <w:r w:rsidRPr="00805294">
        <w:rPr>
          <w:rFonts w:ascii="Times New Roman" w:hAnsi="Times New Roman" w:cs="Times New Roman"/>
          <w:sz w:val="24"/>
          <w:szCs w:val="24"/>
        </w:rPr>
        <w:t xml:space="preserve">For example, in </w:t>
      </w:r>
      <w:r w:rsidRPr="00805294">
        <w:rPr>
          <w:rFonts w:ascii="Times New Roman" w:hAnsi="Times New Roman" w:cs="Times New Roman"/>
          <w:i/>
          <w:sz w:val="24"/>
          <w:szCs w:val="24"/>
        </w:rPr>
        <w:t>Crawford v. Simpson</w:t>
      </w:r>
      <w:r w:rsidRPr="00805294">
        <w:rPr>
          <w:rFonts w:ascii="Times New Roman" w:hAnsi="Times New Roman" w:cs="Times New Roman"/>
          <w:sz w:val="24"/>
          <w:szCs w:val="24"/>
        </w:rPr>
        <w:t>, 279 Ga. 280 (2005), the plaintiff brought a quiet title action in 2003 against his neighbor to establish ownership of a disputed 1.32 acre tract.  The evidence showed that a 1950 deed showed a boundary line between the two properties which placed the disputed tract in the property owned by the plaintiff’s predecessor in title.</w:t>
      </w:r>
      <w:r w:rsidR="00C35617" w:rsidRPr="00805294">
        <w:rPr>
          <w:rStyle w:val="FootnoteReference"/>
          <w:rFonts w:ascii="Times New Roman" w:hAnsi="Times New Roman" w:cs="Times New Roman"/>
          <w:sz w:val="24"/>
          <w:szCs w:val="24"/>
        </w:rPr>
        <w:footnoteReference w:id="77"/>
      </w:r>
      <w:r w:rsidRPr="00805294">
        <w:rPr>
          <w:rFonts w:ascii="Times New Roman" w:hAnsi="Times New Roman" w:cs="Times New Roman"/>
          <w:sz w:val="24"/>
          <w:szCs w:val="24"/>
        </w:rPr>
        <w:t xml:space="preserve">  However, aerial photographs taken in 1963 and 1979 showed that the disputed tract was being maintained </w:t>
      </w:r>
      <w:r w:rsidRPr="00805294">
        <w:rPr>
          <w:rFonts w:ascii="Times New Roman" w:hAnsi="Times New Roman" w:cs="Times New Roman"/>
          <w:sz w:val="24"/>
          <w:szCs w:val="24"/>
        </w:rPr>
        <w:lastRenderedPageBreak/>
        <w:t>in a manner consistent with defendant’s predecessor’s property, and the county taxed him accordingly for the disputed tract.</w:t>
      </w:r>
      <w:r w:rsidR="00C35617" w:rsidRPr="00805294">
        <w:rPr>
          <w:rStyle w:val="FootnoteReference"/>
          <w:rFonts w:ascii="Times New Roman" w:hAnsi="Times New Roman" w:cs="Times New Roman"/>
          <w:sz w:val="24"/>
          <w:szCs w:val="24"/>
        </w:rPr>
        <w:footnoteReference w:id="78"/>
      </w:r>
      <w:r w:rsidRPr="00805294">
        <w:rPr>
          <w:rFonts w:ascii="Times New Roman" w:hAnsi="Times New Roman" w:cs="Times New Roman"/>
          <w:sz w:val="24"/>
          <w:szCs w:val="24"/>
        </w:rPr>
        <w:t xml:space="preserve">  A witness familiar with the disputed tract since 1967 testified that defendant’s predecessor grew hay and later planted pine trees on the tract.</w:t>
      </w:r>
      <w:r w:rsidR="00C35617" w:rsidRPr="00805294">
        <w:rPr>
          <w:rStyle w:val="FootnoteReference"/>
          <w:rFonts w:ascii="Times New Roman" w:hAnsi="Times New Roman" w:cs="Times New Roman"/>
          <w:sz w:val="24"/>
          <w:szCs w:val="24"/>
        </w:rPr>
        <w:footnoteReference w:id="79"/>
      </w:r>
      <w:r w:rsidRPr="00805294">
        <w:rPr>
          <w:rFonts w:ascii="Times New Roman" w:hAnsi="Times New Roman" w:cs="Times New Roman"/>
          <w:sz w:val="24"/>
          <w:szCs w:val="24"/>
        </w:rPr>
        <w:t xml:space="preserve">  Defendant’s immediate predecessor in interest acquired the tract in a 1992 warranty deed.</w:t>
      </w:r>
      <w:r w:rsidR="00C35617" w:rsidRPr="00805294">
        <w:rPr>
          <w:rStyle w:val="FootnoteReference"/>
          <w:rFonts w:ascii="Times New Roman" w:hAnsi="Times New Roman" w:cs="Times New Roman"/>
          <w:sz w:val="24"/>
          <w:szCs w:val="24"/>
        </w:rPr>
        <w:footnoteReference w:id="80"/>
      </w:r>
      <w:r w:rsidRPr="00805294">
        <w:rPr>
          <w:rFonts w:ascii="Times New Roman" w:hAnsi="Times New Roman" w:cs="Times New Roman"/>
          <w:sz w:val="24"/>
          <w:szCs w:val="24"/>
        </w:rPr>
        <w:t xml:space="preserve">  In 1996, when plaintiff acquired his property, the seller did not warranty the disputed boundary line as shown by the 1950 deed, and when plaintiff in 2001 installed a fence along the 1950 boundary line, defendant had it removed.</w:t>
      </w:r>
      <w:r w:rsidR="00C35617" w:rsidRPr="00805294">
        <w:rPr>
          <w:rStyle w:val="FootnoteReference"/>
          <w:rFonts w:ascii="Times New Roman" w:hAnsi="Times New Roman" w:cs="Times New Roman"/>
          <w:sz w:val="24"/>
          <w:szCs w:val="24"/>
        </w:rPr>
        <w:footnoteReference w:id="81"/>
      </w:r>
      <w:r w:rsidRPr="00805294">
        <w:rPr>
          <w:rFonts w:ascii="Times New Roman" w:hAnsi="Times New Roman" w:cs="Times New Roman"/>
          <w:sz w:val="24"/>
          <w:szCs w:val="24"/>
        </w:rPr>
        <w:t xml:space="preserve">  The trial court adopted the special master’s award and findings that defendant owned the disputed tract through adverse possession.</w:t>
      </w:r>
      <w:r w:rsidR="00C35617" w:rsidRPr="00805294">
        <w:rPr>
          <w:rStyle w:val="FootnoteReference"/>
          <w:rFonts w:ascii="Times New Roman" w:hAnsi="Times New Roman" w:cs="Times New Roman"/>
          <w:sz w:val="24"/>
          <w:szCs w:val="24"/>
        </w:rPr>
        <w:footnoteReference w:id="82"/>
      </w:r>
      <w:r w:rsidRPr="00805294">
        <w:rPr>
          <w:rFonts w:ascii="Times New Roman" w:hAnsi="Times New Roman" w:cs="Times New Roman"/>
          <w:sz w:val="24"/>
          <w:szCs w:val="24"/>
        </w:rPr>
        <w:t xml:space="preserve">  </w:t>
      </w:r>
    </w:p>
    <w:p w14:paraId="2D724A31" w14:textId="77777777" w:rsidR="008A369A" w:rsidRPr="00805294" w:rsidRDefault="008A369A" w:rsidP="008A369A">
      <w:p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ab/>
        <w:t>On appeal, the Georgia Supreme Court noted that the evidence demonstrated that under defendant’s predecessors in interest, the disputed property was cultivated beginning by at least 1963, the taxes were paid yearly, ownership of the property was warranted when it was conveyed in 1992, and plaintiff’s fence was removed from the property in 2001.</w:t>
      </w:r>
      <w:r w:rsidR="00C35617" w:rsidRPr="00805294">
        <w:rPr>
          <w:rStyle w:val="FootnoteReference"/>
          <w:rFonts w:ascii="Times New Roman" w:hAnsi="Times New Roman" w:cs="Times New Roman"/>
          <w:sz w:val="24"/>
          <w:szCs w:val="24"/>
        </w:rPr>
        <w:footnoteReference w:id="83"/>
      </w:r>
      <w:r w:rsidRPr="00805294">
        <w:rPr>
          <w:rFonts w:ascii="Times New Roman" w:hAnsi="Times New Roman" w:cs="Times New Roman"/>
          <w:sz w:val="24"/>
          <w:szCs w:val="24"/>
        </w:rPr>
        <w:t xml:space="preserve">  The disputed tract was under cultivation for years and was neither remote nor incapable of actual possession without enclosure.</w:t>
      </w:r>
      <w:r w:rsidR="00C35617" w:rsidRPr="00805294">
        <w:rPr>
          <w:rStyle w:val="FootnoteReference"/>
          <w:rFonts w:ascii="Times New Roman" w:hAnsi="Times New Roman" w:cs="Times New Roman"/>
          <w:sz w:val="24"/>
          <w:szCs w:val="24"/>
        </w:rPr>
        <w:footnoteReference w:id="84"/>
      </w:r>
      <w:r w:rsidRPr="00805294">
        <w:rPr>
          <w:rFonts w:ascii="Times New Roman" w:hAnsi="Times New Roman" w:cs="Times New Roman"/>
          <w:sz w:val="24"/>
          <w:szCs w:val="24"/>
        </w:rPr>
        <w:t xml:space="preserve">  The evidence authorized the trial court and the special master to find that defendant’s predecessors in interest maintained public, exclusive, and continuous possession of the disputed tract and that their hostile possession of the property was done in good faith under a claim of right.</w:t>
      </w:r>
      <w:r w:rsidR="00C35617" w:rsidRPr="00805294">
        <w:rPr>
          <w:rStyle w:val="FootnoteReference"/>
          <w:rFonts w:ascii="Times New Roman" w:hAnsi="Times New Roman" w:cs="Times New Roman"/>
          <w:sz w:val="24"/>
          <w:szCs w:val="24"/>
        </w:rPr>
        <w:footnoteReference w:id="85"/>
      </w:r>
      <w:r w:rsidRPr="00805294">
        <w:rPr>
          <w:rFonts w:ascii="Times New Roman" w:hAnsi="Times New Roman" w:cs="Times New Roman"/>
          <w:sz w:val="24"/>
          <w:szCs w:val="24"/>
        </w:rPr>
        <w:t xml:space="preserve">  </w:t>
      </w:r>
    </w:p>
    <w:p w14:paraId="1494F466" w14:textId="77777777" w:rsidR="008A369A" w:rsidRPr="00805294" w:rsidRDefault="008A369A" w:rsidP="008A369A">
      <w:p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ab/>
        <w:t xml:space="preserve">Likewise, in </w:t>
      </w:r>
      <w:r w:rsidRPr="00805294">
        <w:rPr>
          <w:rFonts w:ascii="Times New Roman" w:hAnsi="Times New Roman" w:cs="Times New Roman"/>
          <w:i/>
          <w:sz w:val="24"/>
          <w:szCs w:val="24"/>
        </w:rPr>
        <w:t>Cooley v. McRae</w:t>
      </w:r>
      <w:r w:rsidRPr="00805294">
        <w:rPr>
          <w:rFonts w:ascii="Times New Roman" w:hAnsi="Times New Roman" w:cs="Times New Roman"/>
          <w:sz w:val="24"/>
          <w:szCs w:val="24"/>
        </w:rPr>
        <w:t xml:space="preserve">, 275 Ga. 435 (2002), the plaintiff brought a quiet title action, contending that her predecessors in interest acquired title to property through adverse </w:t>
      </w:r>
      <w:r w:rsidRPr="00805294">
        <w:rPr>
          <w:rFonts w:ascii="Times New Roman" w:hAnsi="Times New Roman" w:cs="Times New Roman"/>
          <w:sz w:val="24"/>
          <w:szCs w:val="24"/>
        </w:rPr>
        <w:lastRenderedPageBreak/>
        <w:t>possession.  The special master agreed, and the trial court adopted the special master’s findings.</w:t>
      </w:r>
      <w:r w:rsidR="00C35617" w:rsidRPr="00805294">
        <w:rPr>
          <w:rStyle w:val="FootnoteReference"/>
          <w:rFonts w:ascii="Times New Roman" w:hAnsi="Times New Roman" w:cs="Times New Roman"/>
          <w:sz w:val="24"/>
          <w:szCs w:val="24"/>
        </w:rPr>
        <w:footnoteReference w:id="86"/>
      </w:r>
      <w:r w:rsidRPr="00805294">
        <w:rPr>
          <w:rFonts w:ascii="Times New Roman" w:hAnsi="Times New Roman" w:cs="Times New Roman"/>
          <w:sz w:val="24"/>
          <w:szCs w:val="24"/>
        </w:rPr>
        <w:t xml:space="preserve">  </w:t>
      </w:r>
    </w:p>
    <w:p w14:paraId="3170A22E" w14:textId="77777777" w:rsidR="008A369A" w:rsidRPr="00805294" w:rsidRDefault="008A369A" w:rsidP="000602C6">
      <w:pPr>
        <w:spacing w:after="0" w:line="480" w:lineRule="auto"/>
        <w:ind w:firstLine="720"/>
        <w:jc w:val="both"/>
        <w:rPr>
          <w:rFonts w:ascii="Times New Roman" w:hAnsi="Times New Roman" w:cs="Times New Roman"/>
          <w:sz w:val="24"/>
          <w:szCs w:val="24"/>
        </w:rPr>
      </w:pPr>
      <w:r w:rsidRPr="00805294">
        <w:rPr>
          <w:rFonts w:ascii="Times New Roman" w:hAnsi="Times New Roman" w:cs="Times New Roman"/>
          <w:sz w:val="24"/>
          <w:szCs w:val="24"/>
        </w:rPr>
        <w:t>According to the Georgia Supreme Court, the record demonstrated that plaintiff’s predecessor and his lineal descendants continuously occupied the property and openly declared to others that they owned the property from at least 1950 onward.</w:t>
      </w:r>
      <w:r w:rsidR="00C35617" w:rsidRPr="00805294">
        <w:rPr>
          <w:rStyle w:val="FootnoteReference"/>
          <w:rFonts w:ascii="Times New Roman" w:hAnsi="Times New Roman" w:cs="Times New Roman"/>
          <w:sz w:val="24"/>
          <w:szCs w:val="24"/>
        </w:rPr>
        <w:footnoteReference w:id="87"/>
      </w:r>
      <w:r w:rsidRPr="00805294">
        <w:rPr>
          <w:rFonts w:ascii="Times New Roman" w:hAnsi="Times New Roman" w:cs="Times New Roman"/>
          <w:sz w:val="24"/>
          <w:szCs w:val="24"/>
        </w:rPr>
        <w:t xml:space="preserve">  In 1951, plaintiff’s predecessor sold timber rights on the property to an individual who testified that throughout the 1950s and 1960s, he and his family used the property for recreational purposes with the express permission of plaintiff’s predecessor and in an honest belief that plaintiff’s predecessor owned the property.</w:t>
      </w:r>
      <w:r w:rsidR="00C35617" w:rsidRPr="00805294">
        <w:rPr>
          <w:rStyle w:val="FootnoteReference"/>
          <w:rFonts w:ascii="Times New Roman" w:hAnsi="Times New Roman" w:cs="Times New Roman"/>
          <w:sz w:val="24"/>
          <w:szCs w:val="24"/>
        </w:rPr>
        <w:footnoteReference w:id="88"/>
      </w:r>
      <w:r w:rsidRPr="00805294">
        <w:rPr>
          <w:rFonts w:ascii="Times New Roman" w:hAnsi="Times New Roman" w:cs="Times New Roman"/>
          <w:sz w:val="24"/>
          <w:szCs w:val="24"/>
        </w:rPr>
        <w:t xml:space="preserve">  Since at least 1965, plaintiff’s predecessor and his descendants regularly hunted on the property, cultivated the land, and constructed and maintained roads, fences, and gates on the property.</w:t>
      </w:r>
      <w:r w:rsidR="00C35617" w:rsidRPr="00805294">
        <w:rPr>
          <w:rStyle w:val="FootnoteReference"/>
          <w:rFonts w:ascii="Times New Roman" w:hAnsi="Times New Roman" w:cs="Times New Roman"/>
          <w:sz w:val="24"/>
          <w:szCs w:val="24"/>
        </w:rPr>
        <w:footnoteReference w:id="89"/>
      </w:r>
      <w:r w:rsidRPr="00805294">
        <w:rPr>
          <w:rFonts w:ascii="Times New Roman" w:hAnsi="Times New Roman" w:cs="Times New Roman"/>
          <w:sz w:val="24"/>
          <w:szCs w:val="24"/>
        </w:rPr>
        <w:t xml:space="preserve">  They frequently posted “No Trespassing” signs on the property and made trespassers on the property leave.</w:t>
      </w:r>
      <w:r w:rsidR="00C35617" w:rsidRPr="00805294">
        <w:rPr>
          <w:rStyle w:val="FootnoteReference"/>
          <w:rFonts w:ascii="Times New Roman" w:hAnsi="Times New Roman" w:cs="Times New Roman"/>
          <w:sz w:val="24"/>
          <w:szCs w:val="24"/>
        </w:rPr>
        <w:footnoteReference w:id="90"/>
      </w:r>
      <w:r w:rsidRPr="00805294">
        <w:rPr>
          <w:rFonts w:ascii="Times New Roman" w:hAnsi="Times New Roman" w:cs="Times New Roman"/>
          <w:sz w:val="24"/>
          <w:szCs w:val="24"/>
        </w:rPr>
        <w:t xml:space="preserve">  After plaintiff’s predecessor’s death in 1977, plaintiff claimed the property as her own, as shown by her filing of a survey plat asserting ownership of the property, her and her family’s continuous and exclusive use of the property during her lifetime, and her conveyance by deed of portions of the property to her children.</w:t>
      </w:r>
      <w:r w:rsidR="00C35617" w:rsidRPr="00805294">
        <w:rPr>
          <w:rStyle w:val="FootnoteReference"/>
          <w:rFonts w:ascii="Times New Roman" w:hAnsi="Times New Roman" w:cs="Times New Roman"/>
          <w:sz w:val="24"/>
          <w:szCs w:val="24"/>
        </w:rPr>
        <w:footnoteReference w:id="91"/>
      </w:r>
      <w:r w:rsidRPr="00805294">
        <w:rPr>
          <w:rFonts w:ascii="Times New Roman" w:hAnsi="Times New Roman" w:cs="Times New Roman"/>
          <w:sz w:val="24"/>
          <w:szCs w:val="24"/>
        </w:rPr>
        <w:t xml:space="preserve">  Further, defendant admitted that she knew of plaintiff’s predecessors’ possession of the property and that she always believed that they owned the property.</w:t>
      </w:r>
      <w:r w:rsidR="00C35617" w:rsidRPr="00805294">
        <w:rPr>
          <w:rStyle w:val="FootnoteReference"/>
          <w:rFonts w:ascii="Times New Roman" w:hAnsi="Times New Roman" w:cs="Times New Roman"/>
          <w:sz w:val="24"/>
          <w:szCs w:val="24"/>
        </w:rPr>
        <w:footnoteReference w:id="92"/>
      </w:r>
      <w:r w:rsidRPr="00805294">
        <w:rPr>
          <w:rFonts w:ascii="Times New Roman" w:hAnsi="Times New Roman" w:cs="Times New Roman"/>
          <w:sz w:val="24"/>
          <w:szCs w:val="24"/>
        </w:rPr>
        <w:t xml:space="preserve">  Based on all the evidence, the trial court properly determined that possession of the property by plaintiff’s predecessors was public, </w:t>
      </w:r>
      <w:r w:rsidRPr="00805294">
        <w:rPr>
          <w:rFonts w:ascii="Times New Roman" w:hAnsi="Times New Roman" w:cs="Times New Roman"/>
          <w:sz w:val="24"/>
          <w:szCs w:val="24"/>
        </w:rPr>
        <w:lastRenderedPageBreak/>
        <w:t>continuous, exclusive, uninterrupted and peaceable, and under a claim of right as required under O.C.G.A. § 44-5-161(a).</w:t>
      </w:r>
      <w:r w:rsidR="006D3D5C" w:rsidRPr="00805294">
        <w:rPr>
          <w:rStyle w:val="FootnoteReference"/>
          <w:rFonts w:ascii="Times New Roman" w:hAnsi="Times New Roman" w:cs="Times New Roman"/>
          <w:sz w:val="24"/>
          <w:szCs w:val="24"/>
        </w:rPr>
        <w:footnoteReference w:id="93"/>
      </w:r>
      <w:r w:rsidRPr="00805294">
        <w:rPr>
          <w:rFonts w:ascii="Times New Roman" w:hAnsi="Times New Roman" w:cs="Times New Roman"/>
          <w:sz w:val="24"/>
          <w:szCs w:val="24"/>
        </w:rPr>
        <w:t xml:space="preserve">  </w:t>
      </w:r>
    </w:p>
    <w:p w14:paraId="490A903C" w14:textId="77777777" w:rsidR="008A369A" w:rsidRPr="00805294" w:rsidRDefault="008A369A" w:rsidP="00632E14">
      <w:pPr>
        <w:pStyle w:val="Heading1"/>
      </w:pPr>
      <w:r w:rsidRPr="00805294">
        <w:t>Length of Time of Possession Required</w:t>
      </w:r>
    </w:p>
    <w:p w14:paraId="354C1940" w14:textId="77777777" w:rsidR="00F15DE7" w:rsidRPr="00805294" w:rsidRDefault="008A369A" w:rsidP="008A369A">
      <w:p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ab/>
        <w:t>Generally, one claiming title to real property by adverse possession must be in possession of the property for a period of twenty years.  O.C.G.A. § 44-5-163.  However, possession of real property “under written evidence of title” for a period of seven years shall confer good title by prescription to the property.</w:t>
      </w:r>
      <w:r w:rsidRPr="00805294">
        <w:rPr>
          <w:rFonts w:ascii="Times New Roman" w:hAnsi="Times New Roman" w:cs="Times New Roman"/>
          <w:sz w:val="24"/>
          <w:szCs w:val="24"/>
          <w:vertAlign w:val="superscript"/>
        </w:rPr>
        <w:footnoteReference w:id="94"/>
      </w:r>
      <w:r w:rsidRPr="00805294">
        <w:rPr>
          <w:rFonts w:ascii="Times New Roman" w:hAnsi="Times New Roman" w:cs="Times New Roman"/>
          <w:sz w:val="24"/>
          <w:szCs w:val="24"/>
        </w:rPr>
        <w:t xml:space="preserve">  O.C.G.A. § 44-5-164.</w:t>
      </w:r>
    </w:p>
    <w:p w14:paraId="437182B8" w14:textId="77777777" w:rsidR="008A369A" w:rsidRPr="00805294" w:rsidRDefault="008A369A" w:rsidP="00F15DE7">
      <w:pPr>
        <w:spacing w:after="0" w:line="480" w:lineRule="auto"/>
        <w:ind w:firstLine="720"/>
        <w:jc w:val="both"/>
        <w:rPr>
          <w:rFonts w:ascii="Times New Roman" w:hAnsi="Times New Roman" w:cs="Times New Roman"/>
          <w:sz w:val="24"/>
          <w:szCs w:val="24"/>
        </w:rPr>
      </w:pPr>
      <w:r w:rsidRPr="00805294">
        <w:rPr>
          <w:rFonts w:ascii="Times New Roman" w:hAnsi="Times New Roman" w:cs="Times New Roman"/>
          <w:sz w:val="24"/>
          <w:szCs w:val="24"/>
        </w:rPr>
        <w:t>Color of title is a writing upon its face professing to pass title, but which does not do it, either from want of title in the person making it, or from the defective conveyance that is used – a title that is imperfect, but not so obviously so that it would be apparent to one not skilled in the law. … [I]t must purport to convey</w:t>
      </w:r>
      <w:r w:rsidR="00F15DE7" w:rsidRPr="00805294">
        <w:rPr>
          <w:rFonts w:ascii="Times New Roman" w:hAnsi="Times New Roman" w:cs="Times New Roman"/>
          <w:sz w:val="24"/>
          <w:szCs w:val="24"/>
        </w:rPr>
        <w:t xml:space="preserve"> </w:t>
      </w:r>
      <w:r w:rsidRPr="00805294">
        <w:rPr>
          <w:rFonts w:ascii="Times New Roman" w:hAnsi="Times New Roman" w:cs="Times New Roman"/>
          <w:sz w:val="24"/>
          <w:szCs w:val="24"/>
        </w:rPr>
        <w:t>the property to the possessor (to him holding either the corporeal or the legal</w:t>
      </w:r>
      <w:r w:rsidR="00F15DE7" w:rsidRPr="00805294">
        <w:rPr>
          <w:rFonts w:ascii="Times New Roman" w:hAnsi="Times New Roman" w:cs="Times New Roman"/>
          <w:sz w:val="24"/>
          <w:szCs w:val="24"/>
        </w:rPr>
        <w:t xml:space="preserve"> </w:t>
      </w:r>
      <w:r w:rsidRPr="00805294">
        <w:rPr>
          <w:rFonts w:ascii="Times New Roman" w:hAnsi="Times New Roman" w:cs="Times New Roman"/>
          <w:sz w:val="24"/>
          <w:szCs w:val="24"/>
        </w:rPr>
        <w:t>possession), and not to others under whom he does not hold; it must contain</w:t>
      </w:r>
      <w:r w:rsidR="00F15DE7" w:rsidRPr="00805294">
        <w:rPr>
          <w:rFonts w:ascii="Times New Roman" w:hAnsi="Times New Roman" w:cs="Times New Roman"/>
          <w:sz w:val="24"/>
          <w:szCs w:val="24"/>
        </w:rPr>
        <w:t xml:space="preserve"> </w:t>
      </w:r>
      <w:r w:rsidRPr="00805294">
        <w:rPr>
          <w:rFonts w:ascii="Times New Roman" w:hAnsi="Times New Roman" w:cs="Times New Roman"/>
          <w:sz w:val="24"/>
          <w:szCs w:val="24"/>
        </w:rPr>
        <w:t>such a description of the property as to render it capable of identification,</w:t>
      </w:r>
      <w:r w:rsidR="00F15DE7" w:rsidRPr="00805294">
        <w:rPr>
          <w:rFonts w:ascii="Times New Roman" w:hAnsi="Times New Roman" w:cs="Times New Roman"/>
          <w:sz w:val="24"/>
          <w:szCs w:val="24"/>
        </w:rPr>
        <w:t xml:space="preserve"> </w:t>
      </w:r>
      <w:r w:rsidRPr="00805294">
        <w:rPr>
          <w:rFonts w:ascii="Times New Roman" w:hAnsi="Times New Roman" w:cs="Times New Roman"/>
          <w:sz w:val="24"/>
          <w:szCs w:val="24"/>
        </w:rPr>
        <w:t>and the possessor must in good faith claim the land under it.</w:t>
      </w:r>
      <w:r w:rsidR="006D3D5C" w:rsidRPr="00805294">
        <w:rPr>
          <w:rStyle w:val="FootnoteReference"/>
          <w:rFonts w:ascii="Times New Roman" w:hAnsi="Times New Roman" w:cs="Times New Roman"/>
          <w:sz w:val="24"/>
          <w:szCs w:val="24"/>
        </w:rPr>
        <w:footnoteReference w:id="95"/>
      </w:r>
      <w:r w:rsidR="006D3D5C" w:rsidRPr="00805294">
        <w:rPr>
          <w:rFonts w:ascii="Times New Roman" w:hAnsi="Times New Roman" w:cs="Times New Roman"/>
          <w:sz w:val="24"/>
          <w:szCs w:val="24"/>
        </w:rPr>
        <w:t xml:space="preserve"> </w:t>
      </w:r>
      <w:r w:rsidR="00F15DE7" w:rsidRPr="00805294">
        <w:rPr>
          <w:rFonts w:ascii="Times New Roman" w:hAnsi="Times New Roman" w:cs="Times New Roman"/>
          <w:sz w:val="24"/>
          <w:szCs w:val="24"/>
        </w:rPr>
        <w:t xml:space="preserve"> </w:t>
      </w:r>
      <w:r w:rsidRPr="00805294">
        <w:rPr>
          <w:rFonts w:ascii="Times New Roman" w:hAnsi="Times New Roman" w:cs="Times New Roman"/>
          <w:sz w:val="24"/>
          <w:szCs w:val="24"/>
        </w:rPr>
        <w:t>An “administrator’s deed which purported to convey fee simple title, was sufficient color of title, for purposes of acquiring title to property by prescription, even though, unknown to all parties at the time of the transaction, the testatrix did not own the property at the time of her death.”</w:t>
      </w:r>
      <w:r w:rsidR="00FC68ED" w:rsidRPr="00805294">
        <w:rPr>
          <w:rStyle w:val="FootnoteReference"/>
          <w:rFonts w:ascii="Times New Roman" w:hAnsi="Times New Roman" w:cs="Times New Roman"/>
          <w:sz w:val="24"/>
          <w:szCs w:val="24"/>
        </w:rPr>
        <w:footnoteReference w:id="96"/>
      </w:r>
      <w:r w:rsidRPr="00805294">
        <w:rPr>
          <w:rFonts w:ascii="Times New Roman" w:hAnsi="Times New Roman" w:cs="Times New Roman"/>
          <w:sz w:val="24"/>
          <w:szCs w:val="24"/>
        </w:rPr>
        <w:t xml:space="preserve">    The Georgia Supreme Court further has </w:t>
      </w:r>
      <w:r w:rsidRPr="00805294">
        <w:rPr>
          <w:rFonts w:ascii="Times New Roman" w:hAnsi="Times New Roman" w:cs="Times New Roman"/>
          <w:sz w:val="24"/>
          <w:szCs w:val="24"/>
        </w:rPr>
        <w:lastRenderedPageBreak/>
        <w:t>“delineated numerous types of instruments that are treated as color of title, including a void deed by a husband conveying his wife’s property, a sheriff’s deed without an execution, a deed executed by one as attorney in fact without authority, [and] a quitclaim deed, conveying ‘any rights of the grantor.’”</w:t>
      </w:r>
      <w:r w:rsidR="00FC68ED" w:rsidRPr="00805294">
        <w:rPr>
          <w:rStyle w:val="FootnoteReference"/>
          <w:rFonts w:ascii="Times New Roman" w:hAnsi="Times New Roman" w:cs="Times New Roman"/>
          <w:sz w:val="24"/>
          <w:szCs w:val="24"/>
        </w:rPr>
        <w:footnoteReference w:id="97"/>
      </w:r>
      <w:r w:rsidRPr="00805294">
        <w:rPr>
          <w:rFonts w:ascii="Times New Roman" w:hAnsi="Times New Roman" w:cs="Times New Roman"/>
          <w:sz w:val="24"/>
          <w:szCs w:val="24"/>
        </w:rPr>
        <w:t xml:space="preserve">  </w:t>
      </w:r>
    </w:p>
    <w:p w14:paraId="74B097D8" w14:textId="77777777" w:rsidR="008A5C8A" w:rsidRPr="00805294" w:rsidRDefault="008A369A" w:rsidP="00285172">
      <w:pPr>
        <w:spacing w:after="0" w:line="480" w:lineRule="auto"/>
        <w:jc w:val="both"/>
        <w:rPr>
          <w:rFonts w:ascii="Times New Roman" w:hAnsi="Times New Roman" w:cs="Times New Roman"/>
          <w:sz w:val="24"/>
          <w:szCs w:val="24"/>
        </w:rPr>
      </w:pPr>
      <w:r w:rsidRPr="00805294">
        <w:rPr>
          <w:rFonts w:ascii="Times New Roman" w:hAnsi="Times New Roman" w:cs="Times New Roman"/>
          <w:sz w:val="24"/>
          <w:szCs w:val="24"/>
        </w:rPr>
        <w:tab/>
        <w:t xml:space="preserve">In </w:t>
      </w:r>
      <w:r w:rsidRPr="00805294">
        <w:rPr>
          <w:rFonts w:ascii="Times New Roman" w:hAnsi="Times New Roman" w:cs="Times New Roman"/>
          <w:i/>
          <w:sz w:val="24"/>
          <w:szCs w:val="24"/>
        </w:rPr>
        <w:t>Gigger</w:t>
      </w:r>
      <w:r w:rsidRPr="00805294">
        <w:rPr>
          <w:rFonts w:ascii="Times New Roman" w:hAnsi="Times New Roman" w:cs="Times New Roman"/>
          <w:sz w:val="24"/>
          <w:szCs w:val="24"/>
        </w:rPr>
        <w:t>, a quitclaim deed to plaintiff purported to convey the entire interest in the property and contained a full legal description as to render it capable of identification.</w:t>
      </w:r>
      <w:r w:rsidR="00FC68ED" w:rsidRPr="00805294">
        <w:rPr>
          <w:rStyle w:val="FootnoteReference"/>
          <w:rFonts w:ascii="Times New Roman" w:hAnsi="Times New Roman" w:cs="Times New Roman"/>
          <w:sz w:val="24"/>
          <w:szCs w:val="24"/>
        </w:rPr>
        <w:footnoteReference w:id="98"/>
      </w:r>
      <w:r w:rsidRPr="00805294">
        <w:rPr>
          <w:rFonts w:ascii="Times New Roman" w:hAnsi="Times New Roman" w:cs="Times New Roman"/>
          <w:sz w:val="24"/>
          <w:szCs w:val="24"/>
        </w:rPr>
        <w:t xml:space="preserve">  The plaintiff believed the former owner of the property to be the sole owner and other than the owner’s son who executed the deed, plaintiff had no knowledge of the existence of any other children of the owner, or of any claim that they may have had to the property.</w:t>
      </w:r>
      <w:r w:rsidR="00FC68ED" w:rsidRPr="00805294">
        <w:rPr>
          <w:rStyle w:val="FootnoteReference"/>
          <w:rFonts w:ascii="Times New Roman" w:hAnsi="Times New Roman" w:cs="Times New Roman"/>
          <w:sz w:val="24"/>
          <w:szCs w:val="24"/>
        </w:rPr>
        <w:footnoteReference w:id="99"/>
      </w:r>
      <w:r w:rsidRPr="00805294">
        <w:rPr>
          <w:rFonts w:ascii="Times New Roman" w:hAnsi="Times New Roman" w:cs="Times New Roman"/>
          <w:sz w:val="24"/>
          <w:szCs w:val="24"/>
        </w:rPr>
        <w:t xml:space="preserve">  Plaintiff further had no knowledge of actual fraud in the quitclaim transaction and thus claimed the land in good faith.</w:t>
      </w:r>
      <w:r w:rsidR="00FC68ED" w:rsidRPr="00805294">
        <w:rPr>
          <w:rStyle w:val="FootnoteReference"/>
          <w:rFonts w:ascii="Times New Roman" w:hAnsi="Times New Roman" w:cs="Times New Roman"/>
          <w:sz w:val="24"/>
          <w:szCs w:val="24"/>
        </w:rPr>
        <w:footnoteReference w:id="100"/>
      </w:r>
      <w:r w:rsidRPr="00805294">
        <w:rPr>
          <w:rFonts w:ascii="Times New Roman" w:hAnsi="Times New Roman" w:cs="Times New Roman"/>
          <w:sz w:val="24"/>
          <w:szCs w:val="24"/>
        </w:rPr>
        <w:t xml:space="preserve">  Therefore, the writing plaintiff relied upon was sufficient color of title for purposes of acquiring prescriptive title to the property.</w:t>
      </w:r>
      <w:r w:rsidR="00FC68ED" w:rsidRPr="00805294">
        <w:rPr>
          <w:rStyle w:val="FootnoteReference"/>
          <w:rFonts w:ascii="Times New Roman" w:hAnsi="Times New Roman" w:cs="Times New Roman"/>
          <w:sz w:val="24"/>
          <w:szCs w:val="24"/>
        </w:rPr>
        <w:footnoteReference w:id="101"/>
      </w:r>
      <w:r w:rsidRPr="00805294">
        <w:rPr>
          <w:rFonts w:ascii="Times New Roman" w:hAnsi="Times New Roman" w:cs="Times New Roman"/>
          <w:sz w:val="24"/>
          <w:szCs w:val="24"/>
        </w:rPr>
        <w:t xml:space="preserve">  </w:t>
      </w:r>
    </w:p>
    <w:sectPr w:rsidR="008A5C8A" w:rsidRPr="00805294" w:rsidSect="00A452A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FE0C0" w14:textId="77777777" w:rsidR="00471BEB" w:rsidRDefault="00471BEB" w:rsidP="008A369A">
      <w:pPr>
        <w:spacing w:after="0" w:line="240" w:lineRule="auto"/>
      </w:pPr>
      <w:r>
        <w:separator/>
      </w:r>
    </w:p>
  </w:endnote>
  <w:endnote w:type="continuationSeparator" w:id="0">
    <w:p w14:paraId="29C484AA" w14:textId="77777777" w:rsidR="00471BEB" w:rsidRDefault="00471BEB" w:rsidP="008A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276311"/>
      <w:docPartObj>
        <w:docPartGallery w:val="Page Numbers (Bottom of Page)"/>
        <w:docPartUnique/>
      </w:docPartObj>
    </w:sdtPr>
    <w:sdtEndPr>
      <w:rPr>
        <w:rFonts w:ascii="Times New Roman" w:hAnsi="Times New Roman" w:cs="Times New Roman"/>
        <w:noProof/>
        <w:sz w:val="24"/>
        <w:szCs w:val="24"/>
      </w:rPr>
    </w:sdtEndPr>
    <w:sdtContent>
      <w:p w14:paraId="030DC22F" w14:textId="77777777" w:rsidR="00471BEB" w:rsidRPr="003E3F03" w:rsidRDefault="00471BEB">
        <w:pPr>
          <w:pStyle w:val="Footer"/>
          <w:jc w:val="center"/>
          <w:rPr>
            <w:rFonts w:ascii="Times New Roman" w:hAnsi="Times New Roman" w:cs="Times New Roman"/>
            <w:sz w:val="24"/>
            <w:szCs w:val="24"/>
          </w:rPr>
        </w:pPr>
        <w:r w:rsidRPr="003E3F03">
          <w:rPr>
            <w:rFonts w:ascii="Times New Roman" w:hAnsi="Times New Roman" w:cs="Times New Roman"/>
            <w:sz w:val="24"/>
            <w:szCs w:val="24"/>
          </w:rPr>
          <w:fldChar w:fldCharType="begin"/>
        </w:r>
        <w:r w:rsidRPr="003E3F03">
          <w:rPr>
            <w:rFonts w:ascii="Times New Roman" w:hAnsi="Times New Roman" w:cs="Times New Roman"/>
            <w:sz w:val="24"/>
            <w:szCs w:val="24"/>
          </w:rPr>
          <w:instrText xml:space="preserve"> PAGE   \* MERGEFORMAT </w:instrText>
        </w:r>
        <w:r w:rsidRPr="003E3F03">
          <w:rPr>
            <w:rFonts w:ascii="Times New Roman" w:hAnsi="Times New Roman" w:cs="Times New Roman"/>
            <w:sz w:val="24"/>
            <w:szCs w:val="24"/>
          </w:rPr>
          <w:fldChar w:fldCharType="separate"/>
        </w:r>
        <w:r w:rsidR="008B30DA">
          <w:rPr>
            <w:rFonts w:ascii="Times New Roman" w:hAnsi="Times New Roman" w:cs="Times New Roman"/>
            <w:noProof/>
            <w:sz w:val="24"/>
            <w:szCs w:val="24"/>
          </w:rPr>
          <w:t>18</w:t>
        </w:r>
        <w:r w:rsidRPr="003E3F03">
          <w:rPr>
            <w:rFonts w:ascii="Times New Roman" w:hAnsi="Times New Roman" w:cs="Times New Roman"/>
            <w:noProof/>
            <w:sz w:val="24"/>
            <w:szCs w:val="24"/>
          </w:rPr>
          <w:fldChar w:fldCharType="end"/>
        </w:r>
      </w:p>
    </w:sdtContent>
  </w:sdt>
  <w:p w14:paraId="41DF334E" w14:textId="77777777" w:rsidR="00471BEB" w:rsidRPr="008842AA" w:rsidRDefault="00471BEB" w:rsidP="00884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1B8EC" w14:textId="77777777" w:rsidR="00471BEB" w:rsidRDefault="00471BEB" w:rsidP="008A369A">
      <w:pPr>
        <w:spacing w:after="0" w:line="240" w:lineRule="auto"/>
        <w:rPr>
          <w:noProof/>
        </w:rPr>
      </w:pPr>
      <w:r>
        <w:rPr>
          <w:noProof/>
        </w:rPr>
        <w:separator/>
      </w:r>
    </w:p>
  </w:footnote>
  <w:footnote w:type="continuationSeparator" w:id="0">
    <w:p w14:paraId="6C963981" w14:textId="77777777" w:rsidR="00471BEB" w:rsidRDefault="00471BEB" w:rsidP="008A369A">
      <w:pPr>
        <w:spacing w:after="0" w:line="240" w:lineRule="auto"/>
      </w:pPr>
      <w:r>
        <w:continuationSeparator/>
      </w:r>
    </w:p>
  </w:footnote>
  <w:footnote w:id="1">
    <w:p w14:paraId="58830875" w14:textId="77777777" w:rsidR="009704AD" w:rsidRPr="00805294" w:rsidRDefault="009704AD" w:rsidP="00B42A9B">
      <w:pPr>
        <w:pStyle w:val="FootnoteText"/>
        <w:spacing w:after="0"/>
        <w:rPr>
          <w:rFonts w:ascii="Times New Roman" w:hAnsi="Times New Roman"/>
          <w:sz w:val="24"/>
          <w:szCs w:val="24"/>
        </w:rPr>
      </w:pPr>
      <w:r w:rsidRPr="00805294">
        <w:rPr>
          <w:rStyle w:val="FootnoteReference"/>
          <w:rFonts w:ascii="Times New Roman" w:hAnsi="Times New Roman"/>
          <w:sz w:val="24"/>
          <w:szCs w:val="24"/>
        </w:rPr>
        <w:footnoteRef/>
      </w:r>
      <w:r w:rsidRPr="00805294">
        <w:rPr>
          <w:rFonts w:ascii="Times New Roman" w:hAnsi="Times New Roman"/>
          <w:sz w:val="24"/>
          <w:szCs w:val="24"/>
        </w:rPr>
        <w:t xml:space="preserve"> The author</w:t>
      </w:r>
      <w:r w:rsidR="008B125A">
        <w:rPr>
          <w:rFonts w:ascii="Times New Roman" w:hAnsi="Times New Roman"/>
          <w:sz w:val="24"/>
          <w:szCs w:val="24"/>
        </w:rPr>
        <w:t>s</w:t>
      </w:r>
      <w:r w:rsidRPr="00805294">
        <w:rPr>
          <w:rFonts w:ascii="Times New Roman" w:hAnsi="Times New Roman"/>
          <w:sz w:val="24"/>
          <w:szCs w:val="24"/>
        </w:rPr>
        <w:t xml:space="preserve"> gratefully acknowledge the prior work of Ashley Nunneker, portions of which are incorporated into this article. </w:t>
      </w:r>
    </w:p>
  </w:footnote>
  <w:footnote w:id="2">
    <w:p w14:paraId="35E84D6A" w14:textId="77777777" w:rsidR="00471BEB" w:rsidRDefault="00471BEB" w:rsidP="00772DBC">
      <w:pPr>
        <w:pStyle w:val="FootnoteText"/>
        <w:spacing w:after="0" w:line="240" w:lineRule="auto"/>
      </w:pPr>
      <w:r>
        <w:rPr>
          <w:rStyle w:val="FootnoteReference"/>
        </w:rPr>
        <w:footnoteRef/>
      </w:r>
      <w:r>
        <w:t xml:space="preserve"> </w:t>
      </w:r>
      <w:r w:rsidRPr="00D92728">
        <w:rPr>
          <w:rFonts w:ascii="Times New Roman" w:hAnsi="Times New Roman"/>
          <w:sz w:val="24"/>
          <w:u w:val="single"/>
        </w:rPr>
        <w:t>Kelley v. Randolph</w:t>
      </w:r>
      <w:r w:rsidRPr="000975F8">
        <w:rPr>
          <w:rFonts w:ascii="Times New Roman" w:hAnsi="Times New Roman"/>
          <w:sz w:val="24"/>
        </w:rPr>
        <w:t>, 295 Ga. 721, 722 (2014) (citation omitted).</w:t>
      </w:r>
    </w:p>
  </w:footnote>
  <w:footnote w:id="3">
    <w:p w14:paraId="2BEEBE57" w14:textId="77777777" w:rsidR="00471BEB" w:rsidRDefault="00471BEB" w:rsidP="00772DBC">
      <w:pPr>
        <w:pStyle w:val="FootnoteText"/>
        <w:spacing w:after="0" w:line="240" w:lineRule="auto"/>
      </w:pPr>
      <w:r>
        <w:rPr>
          <w:rStyle w:val="FootnoteReference"/>
        </w:rPr>
        <w:footnoteRef/>
      </w:r>
      <w:r>
        <w:t xml:space="preserve"> </w:t>
      </w:r>
      <w:r w:rsidRPr="000975F8">
        <w:rPr>
          <w:rFonts w:ascii="Times New Roman" w:hAnsi="Times New Roman"/>
          <w:sz w:val="24"/>
        </w:rPr>
        <w:t>O.C.G.A. § 44-5-161(a).</w:t>
      </w:r>
    </w:p>
  </w:footnote>
  <w:footnote w:id="4">
    <w:p w14:paraId="0108D97D" w14:textId="77777777" w:rsidR="00471BEB" w:rsidRDefault="00471BEB" w:rsidP="00772DBC">
      <w:pPr>
        <w:pStyle w:val="FootnoteText"/>
        <w:spacing w:after="0" w:line="240" w:lineRule="auto"/>
      </w:pPr>
      <w:r>
        <w:rPr>
          <w:rStyle w:val="FootnoteReference"/>
        </w:rPr>
        <w:footnoteRef/>
      </w:r>
      <w:r>
        <w:t xml:space="preserve"> </w:t>
      </w:r>
      <w:r w:rsidRPr="00772DBC">
        <w:rPr>
          <w:rFonts w:ascii="Times New Roman" w:hAnsi="Times New Roman"/>
          <w:sz w:val="24"/>
          <w:u w:val="single"/>
        </w:rPr>
        <w:t>Bailey v. Moten</w:t>
      </w:r>
      <w:r w:rsidRPr="000975F8">
        <w:rPr>
          <w:rFonts w:ascii="Times New Roman" w:hAnsi="Times New Roman"/>
          <w:sz w:val="24"/>
        </w:rPr>
        <w:t>, 289 Ga. 897, 899 (2011) (citation omitted).</w:t>
      </w:r>
    </w:p>
  </w:footnote>
  <w:footnote w:id="5">
    <w:p w14:paraId="4B8C47A2" w14:textId="77777777" w:rsidR="00471BEB" w:rsidRDefault="00471BEB" w:rsidP="00772DBC">
      <w:pPr>
        <w:pStyle w:val="FootnoteText"/>
        <w:spacing w:after="0" w:line="240" w:lineRule="auto"/>
      </w:pPr>
      <w:r>
        <w:rPr>
          <w:rStyle w:val="FootnoteReference"/>
        </w:rPr>
        <w:footnoteRef/>
      </w:r>
      <w:r>
        <w:t xml:space="preserve"> </w:t>
      </w:r>
      <w:r w:rsidRPr="00772DBC">
        <w:rPr>
          <w:rFonts w:ascii="Times New Roman" w:hAnsi="Times New Roman"/>
          <w:sz w:val="24"/>
          <w:u w:val="single"/>
        </w:rPr>
        <w:t>Byrd v. Shelley</w:t>
      </w:r>
      <w:r w:rsidRPr="000975F8">
        <w:rPr>
          <w:rFonts w:ascii="Times New Roman" w:hAnsi="Times New Roman"/>
          <w:sz w:val="24"/>
        </w:rPr>
        <w:t>, 279 Ga. App. 886, 887 (2006) (citation omitted).</w:t>
      </w:r>
    </w:p>
  </w:footnote>
  <w:footnote w:id="6">
    <w:p w14:paraId="5FA4E6AC" w14:textId="77777777" w:rsidR="00471BEB" w:rsidRDefault="00471BEB">
      <w:pPr>
        <w:pStyle w:val="FootnoteText"/>
      </w:pPr>
      <w:r>
        <w:rPr>
          <w:rStyle w:val="FootnoteReference"/>
        </w:rPr>
        <w:footnoteRef/>
      </w:r>
      <w:r>
        <w:t xml:space="preserve"> </w:t>
      </w:r>
      <w:r w:rsidRPr="00772DBC">
        <w:rPr>
          <w:rFonts w:ascii="Times New Roman" w:hAnsi="Times New Roman"/>
          <w:sz w:val="24"/>
          <w:u w:val="single"/>
        </w:rPr>
        <w:t>Guagliardo v. Jones</w:t>
      </w:r>
      <w:r w:rsidRPr="000975F8">
        <w:rPr>
          <w:rFonts w:ascii="Times New Roman" w:hAnsi="Times New Roman"/>
          <w:sz w:val="24"/>
        </w:rPr>
        <w:t>, 238 Ga. App. 668, 668 (1999) (citations omitted).</w:t>
      </w:r>
    </w:p>
  </w:footnote>
  <w:footnote w:id="7">
    <w:p w14:paraId="54322B1A" w14:textId="77777777" w:rsidR="00471BEB" w:rsidRPr="003A1CB3" w:rsidRDefault="00471BEB" w:rsidP="003A1CB3">
      <w:pPr>
        <w:pStyle w:val="FootnoteText"/>
        <w:spacing w:after="0" w:line="240" w:lineRule="auto"/>
        <w:rPr>
          <w:rFonts w:ascii="Times New Roman" w:hAnsi="Times New Roman"/>
          <w:sz w:val="24"/>
          <w:szCs w:val="24"/>
        </w:rPr>
      </w:pPr>
      <w:r w:rsidRPr="003A1CB3">
        <w:rPr>
          <w:rStyle w:val="FootnoteReference"/>
          <w:rFonts w:ascii="Times New Roman" w:hAnsi="Times New Roman"/>
          <w:sz w:val="24"/>
          <w:szCs w:val="24"/>
        </w:rPr>
        <w:footnoteRef/>
      </w:r>
      <w:r w:rsidRPr="003A1CB3">
        <w:rPr>
          <w:rFonts w:ascii="Times New Roman" w:hAnsi="Times New Roman"/>
          <w:sz w:val="24"/>
          <w:szCs w:val="24"/>
        </w:rPr>
        <w:t xml:space="preserve"> </w:t>
      </w:r>
      <w:r w:rsidRPr="003A1CB3">
        <w:rPr>
          <w:rFonts w:ascii="Times New Roman" w:hAnsi="Times New Roman"/>
          <w:sz w:val="24"/>
          <w:szCs w:val="24"/>
          <w:u w:val="single"/>
        </w:rPr>
        <w:t>Williamson v. Fain</w:t>
      </w:r>
      <w:r w:rsidRPr="003A1CB3">
        <w:rPr>
          <w:rFonts w:ascii="Times New Roman" w:hAnsi="Times New Roman"/>
          <w:sz w:val="24"/>
          <w:szCs w:val="24"/>
        </w:rPr>
        <w:t xml:space="preserve">, 274 Ga. 413, 415 (2001) (citing </w:t>
      </w:r>
      <w:r w:rsidRPr="00CB4F89">
        <w:rPr>
          <w:rFonts w:ascii="Times New Roman" w:hAnsi="Times New Roman"/>
          <w:sz w:val="24"/>
          <w:szCs w:val="24"/>
          <w:u w:val="single"/>
        </w:rPr>
        <w:t>Nebb v. Butler</w:t>
      </w:r>
      <w:r w:rsidRPr="003A1CB3">
        <w:rPr>
          <w:rFonts w:ascii="Times New Roman" w:hAnsi="Times New Roman"/>
          <w:sz w:val="24"/>
          <w:szCs w:val="24"/>
        </w:rPr>
        <w:t>, 257 Ga. 145 (1987)).</w:t>
      </w:r>
    </w:p>
  </w:footnote>
  <w:footnote w:id="8">
    <w:p w14:paraId="23AC5D63" w14:textId="77777777" w:rsidR="00471BEB" w:rsidRPr="003A1CB3" w:rsidRDefault="00471BEB" w:rsidP="003A1CB3">
      <w:pPr>
        <w:pStyle w:val="FootnoteText"/>
        <w:spacing w:after="0" w:line="240" w:lineRule="auto"/>
        <w:rPr>
          <w:rFonts w:ascii="Times New Roman" w:hAnsi="Times New Roman"/>
          <w:sz w:val="24"/>
          <w:szCs w:val="24"/>
        </w:rPr>
      </w:pPr>
      <w:r w:rsidRPr="003A1CB3">
        <w:rPr>
          <w:rStyle w:val="FootnoteReference"/>
          <w:rFonts w:ascii="Times New Roman" w:hAnsi="Times New Roman"/>
          <w:sz w:val="24"/>
          <w:szCs w:val="24"/>
        </w:rPr>
        <w:footnoteRef/>
      </w:r>
      <w:r w:rsidRPr="003A1CB3">
        <w:rPr>
          <w:rFonts w:ascii="Times New Roman" w:hAnsi="Times New Roman"/>
          <w:sz w:val="24"/>
          <w:szCs w:val="24"/>
        </w:rPr>
        <w:t xml:space="preserve"> O.C.G.A. § 44-5-162(a).</w:t>
      </w:r>
    </w:p>
  </w:footnote>
  <w:footnote w:id="9">
    <w:p w14:paraId="268769BF" w14:textId="77777777" w:rsidR="00471BEB" w:rsidRPr="003A1CB3" w:rsidRDefault="00471BEB" w:rsidP="003A1CB3">
      <w:pPr>
        <w:pStyle w:val="FootnoteText"/>
        <w:spacing w:after="0" w:line="240" w:lineRule="auto"/>
        <w:rPr>
          <w:rFonts w:ascii="Times New Roman" w:hAnsi="Times New Roman"/>
          <w:sz w:val="24"/>
          <w:szCs w:val="24"/>
        </w:rPr>
      </w:pPr>
      <w:r w:rsidRPr="003A1CB3">
        <w:rPr>
          <w:rStyle w:val="FootnoteReference"/>
          <w:rFonts w:ascii="Times New Roman" w:hAnsi="Times New Roman"/>
          <w:sz w:val="24"/>
          <w:szCs w:val="24"/>
        </w:rPr>
        <w:footnoteRef/>
      </w:r>
      <w:r w:rsidRPr="003A1CB3">
        <w:rPr>
          <w:rFonts w:ascii="Times New Roman" w:hAnsi="Times New Roman"/>
          <w:sz w:val="24"/>
          <w:szCs w:val="24"/>
        </w:rPr>
        <w:t xml:space="preserve"> </w:t>
      </w:r>
      <w:r w:rsidRPr="003A1CB3">
        <w:rPr>
          <w:rFonts w:ascii="Times New Roman" w:hAnsi="Times New Roman"/>
          <w:sz w:val="24"/>
          <w:szCs w:val="24"/>
          <w:u w:val="single"/>
        </w:rPr>
        <w:t>Goodrum v. Goodrum</w:t>
      </w:r>
      <w:r w:rsidRPr="003A1CB3">
        <w:rPr>
          <w:rFonts w:ascii="Times New Roman" w:hAnsi="Times New Roman"/>
          <w:sz w:val="24"/>
          <w:szCs w:val="24"/>
        </w:rPr>
        <w:t>, 283 Ga. 163, 163 (2008).</w:t>
      </w:r>
    </w:p>
  </w:footnote>
  <w:footnote w:id="10">
    <w:p w14:paraId="33F08281" w14:textId="77777777" w:rsidR="00471BEB" w:rsidRPr="003A1CB3" w:rsidRDefault="00471BEB" w:rsidP="003A1CB3">
      <w:pPr>
        <w:pStyle w:val="FootnoteText"/>
        <w:spacing w:after="0" w:line="240" w:lineRule="auto"/>
        <w:rPr>
          <w:rFonts w:ascii="Times New Roman" w:hAnsi="Times New Roman"/>
          <w:sz w:val="24"/>
          <w:szCs w:val="24"/>
        </w:rPr>
      </w:pPr>
      <w:r w:rsidRPr="003A1CB3">
        <w:rPr>
          <w:rStyle w:val="FootnoteReference"/>
          <w:rFonts w:ascii="Times New Roman" w:hAnsi="Times New Roman"/>
          <w:sz w:val="24"/>
          <w:szCs w:val="24"/>
        </w:rPr>
        <w:footnoteRef/>
      </w:r>
      <w:r w:rsidRPr="003A1CB3">
        <w:rPr>
          <w:rFonts w:ascii="Times New Roman" w:hAnsi="Times New Roman"/>
          <w:sz w:val="24"/>
          <w:szCs w:val="24"/>
        </w:rPr>
        <w:t xml:space="preserve"> </w:t>
      </w:r>
      <w:r w:rsidRPr="003A1CB3">
        <w:rPr>
          <w:rFonts w:ascii="Times New Roman" w:hAnsi="Times New Roman"/>
          <w:sz w:val="24"/>
          <w:szCs w:val="24"/>
          <w:u w:val="single"/>
        </w:rPr>
        <w:t>Id</w:t>
      </w:r>
      <w:r w:rsidRPr="003A1CB3">
        <w:rPr>
          <w:rFonts w:ascii="Times New Roman" w:hAnsi="Times New Roman"/>
          <w:i/>
          <w:sz w:val="24"/>
          <w:szCs w:val="24"/>
        </w:rPr>
        <w:t>.</w:t>
      </w:r>
      <w:r w:rsidRPr="003A1CB3">
        <w:rPr>
          <w:rFonts w:ascii="Times New Roman" w:hAnsi="Times New Roman"/>
          <w:sz w:val="24"/>
          <w:szCs w:val="24"/>
        </w:rPr>
        <w:t xml:space="preserve"> at 164.  </w:t>
      </w:r>
      <w:r w:rsidRPr="003A1CB3">
        <w:rPr>
          <w:rFonts w:ascii="Times New Roman" w:hAnsi="Times New Roman"/>
          <w:sz w:val="24"/>
          <w:szCs w:val="24"/>
          <w:u w:val="single"/>
        </w:rPr>
        <w:t>See</w:t>
      </w:r>
      <w:r w:rsidRPr="003A1CB3">
        <w:rPr>
          <w:rFonts w:ascii="Times New Roman" w:hAnsi="Times New Roman"/>
          <w:i/>
          <w:sz w:val="24"/>
          <w:szCs w:val="24"/>
        </w:rPr>
        <w:t xml:space="preserve"> </w:t>
      </w:r>
      <w:r w:rsidRPr="003A1CB3">
        <w:rPr>
          <w:rFonts w:ascii="Times New Roman" w:hAnsi="Times New Roman"/>
          <w:sz w:val="24"/>
          <w:szCs w:val="24"/>
          <w:u w:val="single"/>
        </w:rPr>
        <w:t>also</w:t>
      </w:r>
      <w:r w:rsidRPr="003A1CB3">
        <w:rPr>
          <w:rFonts w:ascii="Times New Roman" w:hAnsi="Times New Roman"/>
          <w:i/>
          <w:sz w:val="24"/>
          <w:szCs w:val="24"/>
        </w:rPr>
        <w:t xml:space="preserve"> </w:t>
      </w:r>
      <w:r w:rsidRPr="003A1CB3">
        <w:rPr>
          <w:rFonts w:ascii="Times New Roman" w:hAnsi="Times New Roman"/>
          <w:sz w:val="24"/>
          <w:szCs w:val="24"/>
          <w:u w:val="single"/>
        </w:rPr>
        <w:t>Gigger v. White</w:t>
      </w:r>
      <w:r w:rsidRPr="003A1CB3">
        <w:rPr>
          <w:rFonts w:ascii="Times New Roman" w:hAnsi="Times New Roman"/>
          <w:sz w:val="24"/>
          <w:szCs w:val="24"/>
        </w:rPr>
        <w:t>, 277 Ga. 68, 71 (2003) (“To defeat prescriptive title, the fraud of the party claiming thereunder must be such as to charge his conscience.  He must be cognizant of the fraud, not by constructive but by actual notice.”).</w:t>
      </w:r>
    </w:p>
  </w:footnote>
  <w:footnote w:id="11">
    <w:p w14:paraId="2CCB5898" w14:textId="77777777" w:rsidR="00471BEB" w:rsidRPr="003A1CB3" w:rsidRDefault="00471BEB" w:rsidP="003A1CB3">
      <w:pPr>
        <w:pStyle w:val="FootnoteText"/>
        <w:spacing w:after="0" w:line="240" w:lineRule="auto"/>
        <w:rPr>
          <w:rFonts w:ascii="Times New Roman" w:hAnsi="Times New Roman"/>
          <w:sz w:val="24"/>
          <w:szCs w:val="24"/>
        </w:rPr>
      </w:pPr>
      <w:r w:rsidRPr="003A1CB3">
        <w:rPr>
          <w:rStyle w:val="FootnoteReference"/>
          <w:rFonts w:ascii="Times New Roman" w:hAnsi="Times New Roman"/>
          <w:sz w:val="24"/>
          <w:szCs w:val="24"/>
        </w:rPr>
        <w:footnoteRef/>
      </w:r>
      <w:r w:rsidRPr="003A1CB3">
        <w:rPr>
          <w:rFonts w:ascii="Times New Roman" w:hAnsi="Times New Roman"/>
          <w:sz w:val="24"/>
          <w:szCs w:val="24"/>
        </w:rPr>
        <w:t xml:space="preserve"> O.C.G.A. § 44-5-162(b).  </w:t>
      </w:r>
    </w:p>
  </w:footnote>
  <w:footnote w:id="12">
    <w:p w14:paraId="10128EDF" w14:textId="77777777" w:rsidR="00471BEB" w:rsidRDefault="00471BEB" w:rsidP="003A1CB3">
      <w:pPr>
        <w:pStyle w:val="FootnoteText"/>
        <w:spacing w:after="0" w:line="240" w:lineRule="auto"/>
      </w:pPr>
      <w:r w:rsidRPr="003A1CB3">
        <w:rPr>
          <w:rStyle w:val="FootnoteReference"/>
          <w:rFonts w:ascii="Times New Roman" w:hAnsi="Times New Roman"/>
          <w:sz w:val="24"/>
          <w:szCs w:val="24"/>
        </w:rPr>
        <w:footnoteRef/>
      </w:r>
      <w:r w:rsidRPr="003A1CB3">
        <w:rPr>
          <w:rFonts w:ascii="Times New Roman" w:hAnsi="Times New Roman"/>
          <w:sz w:val="24"/>
          <w:szCs w:val="24"/>
        </w:rPr>
        <w:t xml:space="preserve"> </w:t>
      </w:r>
      <w:r w:rsidRPr="003A1CB3">
        <w:rPr>
          <w:rFonts w:ascii="Times New Roman" w:hAnsi="Times New Roman"/>
          <w:sz w:val="24"/>
          <w:szCs w:val="24"/>
          <w:u w:val="single"/>
        </w:rPr>
        <w:t>Goodrum</w:t>
      </w:r>
      <w:r w:rsidRPr="003A1CB3">
        <w:rPr>
          <w:rFonts w:ascii="Times New Roman" w:hAnsi="Times New Roman"/>
          <w:sz w:val="24"/>
          <w:szCs w:val="24"/>
        </w:rPr>
        <w:t>, 283 Ga. at 164 (where the appellants were unaware of the alleged fraud from 1989 to 2002, it could not be said that they failed to act based upon it).</w:t>
      </w:r>
    </w:p>
  </w:footnote>
  <w:footnote w:id="13">
    <w:p w14:paraId="32FFB7B6" w14:textId="77777777" w:rsidR="00471BEB" w:rsidRDefault="00471BEB">
      <w:pPr>
        <w:pStyle w:val="FootnoteText"/>
      </w:pPr>
      <w:r>
        <w:rPr>
          <w:rStyle w:val="FootnoteReference"/>
        </w:rPr>
        <w:footnoteRef/>
      </w:r>
      <w:r>
        <w:t xml:space="preserve"> </w:t>
      </w:r>
      <w:r w:rsidRPr="000975F8">
        <w:rPr>
          <w:rFonts w:ascii="Times New Roman" w:hAnsi="Times New Roman"/>
          <w:sz w:val="24"/>
        </w:rPr>
        <w:t xml:space="preserve">O.C.G.A. § 44-5-165.  </w:t>
      </w:r>
    </w:p>
  </w:footnote>
  <w:footnote w:id="14">
    <w:p w14:paraId="17378B86" w14:textId="77777777" w:rsidR="00471BEB" w:rsidRDefault="00471BEB" w:rsidP="00B33E8F">
      <w:pPr>
        <w:pStyle w:val="FootnoteText"/>
        <w:spacing w:after="0" w:line="240" w:lineRule="auto"/>
      </w:pPr>
      <w:r>
        <w:rPr>
          <w:rStyle w:val="FootnoteReference"/>
        </w:rPr>
        <w:footnoteRef/>
      </w:r>
      <w:r>
        <w:t xml:space="preserve"> </w:t>
      </w:r>
      <w:r w:rsidRPr="00C85791">
        <w:rPr>
          <w:rFonts w:ascii="Times New Roman" w:hAnsi="Times New Roman"/>
          <w:sz w:val="24"/>
          <w:u w:val="single"/>
        </w:rPr>
        <w:t>Ga. Power Co. v. Irvin</w:t>
      </w:r>
      <w:r w:rsidRPr="000975F8">
        <w:rPr>
          <w:rFonts w:ascii="Times New Roman" w:hAnsi="Times New Roman"/>
          <w:sz w:val="24"/>
        </w:rPr>
        <w:t xml:space="preserve">, 267 Ga. 760, 764 (1997) (quoting </w:t>
      </w:r>
      <w:r w:rsidRPr="00C85791">
        <w:rPr>
          <w:rFonts w:ascii="Times New Roman" w:hAnsi="Times New Roman"/>
          <w:sz w:val="24"/>
          <w:u w:val="single"/>
        </w:rPr>
        <w:t>Clark v. White</w:t>
      </w:r>
      <w:r w:rsidRPr="000975F8">
        <w:rPr>
          <w:rFonts w:ascii="Times New Roman" w:hAnsi="Times New Roman"/>
          <w:sz w:val="24"/>
        </w:rPr>
        <w:t xml:space="preserve">, 120 Ga. 957, 959 (1904)).  </w:t>
      </w:r>
    </w:p>
  </w:footnote>
  <w:footnote w:id="15">
    <w:p w14:paraId="48F05551" w14:textId="77777777" w:rsidR="00471BEB" w:rsidRDefault="00471BEB" w:rsidP="00B33E8F">
      <w:pPr>
        <w:pStyle w:val="FootnoteText"/>
        <w:spacing w:after="0" w:line="240" w:lineRule="auto"/>
      </w:pPr>
      <w:r>
        <w:rPr>
          <w:rStyle w:val="FootnoteReference"/>
        </w:rPr>
        <w:footnoteRef/>
      </w:r>
      <w:r>
        <w:t xml:space="preserve"> </w:t>
      </w:r>
      <w:r w:rsidRPr="00C85791">
        <w:rPr>
          <w:rFonts w:ascii="Times New Roman" w:hAnsi="Times New Roman"/>
          <w:sz w:val="24"/>
          <w:u w:val="single"/>
        </w:rPr>
        <w:t>Byrd v. Shelley</w:t>
      </w:r>
      <w:r w:rsidRPr="000975F8">
        <w:rPr>
          <w:rFonts w:ascii="Times New Roman" w:hAnsi="Times New Roman"/>
          <w:sz w:val="24"/>
        </w:rPr>
        <w:t xml:space="preserve">, 279 Ga. App. 886, 888 (2006) (quoting </w:t>
      </w:r>
      <w:r w:rsidRPr="00C85791">
        <w:rPr>
          <w:rFonts w:ascii="Times New Roman" w:hAnsi="Times New Roman"/>
          <w:sz w:val="24"/>
          <w:u w:val="single"/>
        </w:rPr>
        <w:t>Burgin v. Moye</w:t>
      </w:r>
      <w:r w:rsidRPr="000975F8">
        <w:rPr>
          <w:rFonts w:ascii="Times New Roman" w:hAnsi="Times New Roman"/>
          <w:sz w:val="24"/>
        </w:rPr>
        <w:t>, 212 Ga. 370, 374 (1956)).</w:t>
      </w:r>
    </w:p>
  </w:footnote>
  <w:footnote w:id="16">
    <w:p w14:paraId="4705E2C3" w14:textId="77777777" w:rsidR="00471BEB" w:rsidRDefault="00471BEB" w:rsidP="00B33E8F">
      <w:pPr>
        <w:pStyle w:val="FootnoteText"/>
        <w:spacing w:after="0" w:line="240" w:lineRule="auto"/>
      </w:pPr>
      <w:r>
        <w:rPr>
          <w:rStyle w:val="FootnoteReference"/>
        </w:rPr>
        <w:footnoteRef/>
      </w:r>
      <w:r>
        <w:t xml:space="preserve"> </w:t>
      </w:r>
      <w:r w:rsidRPr="00C85791">
        <w:rPr>
          <w:rFonts w:ascii="Times New Roman" w:hAnsi="Times New Roman"/>
          <w:sz w:val="24"/>
          <w:u w:val="single"/>
        </w:rPr>
        <w:t>Kelley</w:t>
      </w:r>
      <w:r w:rsidRPr="000975F8">
        <w:rPr>
          <w:rFonts w:ascii="Times New Roman" w:hAnsi="Times New Roman"/>
          <w:sz w:val="24"/>
        </w:rPr>
        <w:t xml:space="preserve">, 295 Ga. at 723.  </w:t>
      </w:r>
    </w:p>
  </w:footnote>
  <w:footnote w:id="17">
    <w:p w14:paraId="47D9209E" w14:textId="77777777" w:rsidR="00471BEB" w:rsidRDefault="00471BEB" w:rsidP="00B33E8F">
      <w:pPr>
        <w:pStyle w:val="FootnoteText"/>
        <w:spacing w:after="0" w:line="240" w:lineRule="auto"/>
      </w:pPr>
      <w:r>
        <w:rPr>
          <w:rStyle w:val="FootnoteReference"/>
        </w:rPr>
        <w:footnoteRef/>
      </w:r>
      <w:r>
        <w:t xml:space="preserve"> </w:t>
      </w:r>
      <w:r w:rsidRPr="00B33E8F">
        <w:rPr>
          <w:rFonts w:ascii="Times New Roman" w:hAnsi="Times New Roman"/>
          <w:sz w:val="24"/>
          <w:u w:val="single"/>
        </w:rPr>
        <w:t>Id</w:t>
      </w:r>
      <w:r w:rsidRPr="000975F8">
        <w:rPr>
          <w:rFonts w:ascii="Times New Roman" w:hAnsi="Times New Roman"/>
          <w:i/>
          <w:sz w:val="24"/>
        </w:rPr>
        <w:t>.</w:t>
      </w:r>
    </w:p>
  </w:footnote>
  <w:footnote w:id="18">
    <w:p w14:paraId="6FC515B4" w14:textId="77777777" w:rsidR="00471BEB" w:rsidRDefault="00471BEB" w:rsidP="00B33E8F">
      <w:pPr>
        <w:pStyle w:val="FootnoteText"/>
        <w:spacing w:after="0" w:line="240" w:lineRule="auto"/>
      </w:pPr>
      <w:r>
        <w:rPr>
          <w:rStyle w:val="FootnoteReference"/>
        </w:rPr>
        <w:footnoteRef/>
      </w:r>
      <w:r>
        <w:t xml:space="preserve"> </w:t>
      </w:r>
      <w:r w:rsidRPr="00B33E8F">
        <w:rPr>
          <w:rFonts w:ascii="Times New Roman" w:hAnsi="Times New Roman"/>
          <w:sz w:val="24"/>
          <w:u w:val="single"/>
        </w:rPr>
        <w:t>Matthews v. Cloud</w:t>
      </w:r>
      <w:r w:rsidRPr="0088387F">
        <w:rPr>
          <w:rFonts w:ascii="Times New Roman" w:hAnsi="Times New Roman"/>
          <w:sz w:val="24"/>
        </w:rPr>
        <w:t>, 294 Ga. 415, 418 (2014).</w:t>
      </w:r>
    </w:p>
  </w:footnote>
  <w:footnote w:id="19">
    <w:p w14:paraId="76DE7F17" w14:textId="77777777" w:rsidR="00471BEB" w:rsidRDefault="00471BEB" w:rsidP="00B33E8F">
      <w:pPr>
        <w:pStyle w:val="FootnoteText"/>
        <w:spacing w:after="0" w:line="240" w:lineRule="auto"/>
      </w:pPr>
      <w:r>
        <w:rPr>
          <w:rStyle w:val="FootnoteReference"/>
        </w:rPr>
        <w:footnoteRef/>
      </w:r>
      <w:r>
        <w:t xml:space="preserve"> </w:t>
      </w:r>
      <w:r w:rsidRPr="00B33E8F">
        <w:rPr>
          <w:rFonts w:ascii="Times New Roman" w:hAnsi="Times New Roman"/>
          <w:sz w:val="24"/>
          <w:u w:val="single"/>
        </w:rPr>
        <w:t>Id</w:t>
      </w:r>
      <w:r w:rsidRPr="0088387F">
        <w:rPr>
          <w:rFonts w:ascii="Times New Roman" w:hAnsi="Times New Roman"/>
          <w:i/>
          <w:sz w:val="24"/>
        </w:rPr>
        <w:t>.</w:t>
      </w:r>
      <w:r w:rsidRPr="0088387F">
        <w:rPr>
          <w:rFonts w:ascii="Times New Roman" w:hAnsi="Times New Roman"/>
          <w:sz w:val="24"/>
        </w:rPr>
        <w:t xml:space="preserve"> (quoting O.C.G.A. § 44-5-167).</w:t>
      </w:r>
    </w:p>
  </w:footnote>
  <w:footnote w:id="20">
    <w:p w14:paraId="50BE9A5A" w14:textId="77777777" w:rsidR="00471BEB" w:rsidRDefault="00471BEB" w:rsidP="00523C9A">
      <w:pPr>
        <w:pStyle w:val="FootnoteText"/>
        <w:spacing w:after="0" w:line="240" w:lineRule="auto"/>
      </w:pPr>
      <w:r>
        <w:rPr>
          <w:rStyle w:val="FootnoteReference"/>
        </w:rPr>
        <w:footnoteRef/>
      </w:r>
      <w:r>
        <w:t xml:space="preserve"> </w:t>
      </w:r>
      <w:r w:rsidRPr="00B33E8F">
        <w:rPr>
          <w:rFonts w:ascii="Times New Roman" w:hAnsi="Times New Roman"/>
          <w:sz w:val="24"/>
          <w:u w:val="single"/>
        </w:rPr>
        <w:t>Bailey</w:t>
      </w:r>
      <w:r w:rsidRPr="0088387F">
        <w:rPr>
          <w:rFonts w:ascii="Times New Roman" w:hAnsi="Times New Roman"/>
          <w:sz w:val="24"/>
        </w:rPr>
        <w:t>, 289 Ga. at 899 (citation omitted).</w:t>
      </w:r>
    </w:p>
  </w:footnote>
  <w:footnote w:id="21">
    <w:p w14:paraId="3B34586B" w14:textId="77777777" w:rsidR="00471BEB" w:rsidRDefault="00471BEB" w:rsidP="00523C9A">
      <w:pPr>
        <w:pStyle w:val="FootnoteText"/>
        <w:spacing w:after="0" w:line="240" w:lineRule="auto"/>
      </w:pPr>
      <w:r>
        <w:rPr>
          <w:rStyle w:val="FootnoteReference"/>
        </w:rPr>
        <w:footnoteRef/>
      </w:r>
      <w:r>
        <w:t xml:space="preserve"> </w:t>
      </w:r>
      <w:r w:rsidRPr="00523C9A">
        <w:rPr>
          <w:rFonts w:ascii="Times New Roman" w:hAnsi="Times New Roman"/>
          <w:sz w:val="24"/>
          <w:u w:val="single"/>
        </w:rPr>
        <w:t>Id</w:t>
      </w:r>
      <w:r w:rsidRPr="0088387F">
        <w:rPr>
          <w:rFonts w:ascii="Times New Roman" w:hAnsi="Times New Roman"/>
          <w:i/>
          <w:sz w:val="24"/>
        </w:rPr>
        <w:t>.</w:t>
      </w:r>
      <w:r w:rsidRPr="0088387F">
        <w:rPr>
          <w:rFonts w:ascii="Times New Roman" w:hAnsi="Times New Roman"/>
          <w:sz w:val="24"/>
        </w:rPr>
        <w:t xml:space="preserve"> (citing </w:t>
      </w:r>
      <w:r w:rsidRPr="00523C9A">
        <w:rPr>
          <w:rFonts w:ascii="Times New Roman" w:hAnsi="Times New Roman"/>
          <w:sz w:val="24"/>
          <w:u w:val="single"/>
        </w:rPr>
        <w:t>Robertson v. Abernathy</w:t>
      </w:r>
      <w:r w:rsidRPr="0088387F">
        <w:rPr>
          <w:rFonts w:ascii="Times New Roman" w:hAnsi="Times New Roman"/>
          <w:sz w:val="24"/>
        </w:rPr>
        <w:t>, 192 Ga. 694, 699 (1941)).</w:t>
      </w:r>
    </w:p>
  </w:footnote>
  <w:footnote w:id="22">
    <w:p w14:paraId="6230E606" w14:textId="77777777" w:rsidR="00471BEB" w:rsidRDefault="00471BEB" w:rsidP="001F0374">
      <w:pPr>
        <w:pStyle w:val="FootnoteText"/>
        <w:spacing w:after="0" w:line="240" w:lineRule="auto"/>
      </w:pPr>
      <w:r>
        <w:rPr>
          <w:rStyle w:val="FootnoteReference"/>
        </w:rPr>
        <w:footnoteRef/>
      </w:r>
      <w:r>
        <w:t xml:space="preserve"> </w:t>
      </w:r>
      <w:r w:rsidRPr="00523C9A">
        <w:rPr>
          <w:rFonts w:ascii="Times New Roman" w:hAnsi="Times New Roman"/>
          <w:sz w:val="24"/>
          <w:u w:val="single"/>
        </w:rPr>
        <w:t>Id</w:t>
      </w:r>
      <w:r w:rsidRPr="0088387F">
        <w:rPr>
          <w:rFonts w:ascii="Times New Roman" w:hAnsi="Times New Roman"/>
          <w:i/>
          <w:sz w:val="24"/>
        </w:rPr>
        <w:t>.</w:t>
      </w:r>
    </w:p>
  </w:footnote>
  <w:footnote w:id="23">
    <w:p w14:paraId="08F55644" w14:textId="77777777" w:rsidR="00471BEB" w:rsidRDefault="00471BEB" w:rsidP="001F0374">
      <w:pPr>
        <w:pStyle w:val="FootnoteText"/>
        <w:spacing w:after="0" w:line="240" w:lineRule="auto"/>
      </w:pPr>
      <w:r>
        <w:rPr>
          <w:rStyle w:val="FootnoteReference"/>
        </w:rPr>
        <w:footnoteRef/>
      </w:r>
      <w:r>
        <w:t xml:space="preserve"> </w:t>
      </w:r>
      <w:r w:rsidRPr="00523C9A">
        <w:rPr>
          <w:rFonts w:ascii="Times New Roman" w:hAnsi="Times New Roman"/>
          <w:sz w:val="24"/>
          <w:u w:val="single"/>
        </w:rPr>
        <w:t>Id</w:t>
      </w:r>
      <w:r w:rsidRPr="0088387F">
        <w:rPr>
          <w:rFonts w:ascii="Times New Roman" w:hAnsi="Times New Roman"/>
          <w:i/>
          <w:sz w:val="24"/>
        </w:rPr>
        <w:t>.</w:t>
      </w:r>
      <w:r w:rsidRPr="0088387F">
        <w:rPr>
          <w:rFonts w:ascii="Times New Roman" w:hAnsi="Times New Roman"/>
          <w:sz w:val="24"/>
        </w:rPr>
        <w:t xml:space="preserve"> (citing </w:t>
      </w:r>
      <w:r w:rsidRPr="00523C9A">
        <w:rPr>
          <w:rFonts w:ascii="Times New Roman" w:hAnsi="Times New Roman"/>
          <w:sz w:val="24"/>
          <w:u w:val="single"/>
        </w:rPr>
        <w:t>Brookman v. Rennolds</w:t>
      </w:r>
      <w:r w:rsidRPr="0088387F">
        <w:rPr>
          <w:rFonts w:ascii="Times New Roman" w:hAnsi="Times New Roman"/>
          <w:sz w:val="24"/>
        </w:rPr>
        <w:t>, 148 Ga. 721, 731-32 (1919)).</w:t>
      </w:r>
    </w:p>
  </w:footnote>
  <w:footnote w:id="24">
    <w:p w14:paraId="46FB1943" w14:textId="77777777" w:rsidR="00471BEB" w:rsidRDefault="00471BEB" w:rsidP="003E3F03">
      <w:pPr>
        <w:pStyle w:val="FootnoteText"/>
        <w:spacing w:after="0" w:line="240" w:lineRule="auto"/>
      </w:pPr>
      <w:r>
        <w:rPr>
          <w:rStyle w:val="FootnoteReference"/>
        </w:rPr>
        <w:footnoteRef/>
      </w:r>
      <w:r>
        <w:t xml:space="preserve"> </w:t>
      </w:r>
      <w:r w:rsidRPr="001F0374">
        <w:rPr>
          <w:rFonts w:ascii="Times New Roman" w:hAnsi="Times New Roman"/>
          <w:sz w:val="24"/>
          <w:u w:val="single"/>
        </w:rPr>
        <w:t>Campbell v. The Landings Assoc., Inc.</w:t>
      </w:r>
      <w:r w:rsidRPr="0088387F">
        <w:rPr>
          <w:rFonts w:ascii="Times New Roman" w:hAnsi="Times New Roman"/>
          <w:sz w:val="24"/>
        </w:rPr>
        <w:t>, 289 Ga. 617, 620 (2011).</w:t>
      </w:r>
    </w:p>
  </w:footnote>
  <w:footnote w:id="25">
    <w:p w14:paraId="2A04FFC6" w14:textId="77777777" w:rsidR="00471BEB" w:rsidRDefault="00471BEB" w:rsidP="003E3F03">
      <w:pPr>
        <w:pStyle w:val="FootnoteText"/>
        <w:spacing w:after="0" w:line="240" w:lineRule="auto"/>
      </w:pPr>
      <w:r>
        <w:rPr>
          <w:rStyle w:val="FootnoteReference"/>
        </w:rPr>
        <w:footnoteRef/>
      </w:r>
      <w:r>
        <w:t xml:space="preserve"> </w:t>
      </w:r>
      <w:r w:rsidRPr="001F0374">
        <w:rPr>
          <w:rFonts w:ascii="Times New Roman" w:hAnsi="Times New Roman"/>
          <w:sz w:val="24"/>
          <w:u w:val="single"/>
        </w:rPr>
        <w:t>Id</w:t>
      </w:r>
      <w:r w:rsidRPr="0088387F">
        <w:rPr>
          <w:rFonts w:ascii="Times New Roman" w:hAnsi="Times New Roman"/>
          <w:i/>
          <w:sz w:val="24"/>
        </w:rPr>
        <w:t>.</w:t>
      </w:r>
    </w:p>
  </w:footnote>
  <w:footnote w:id="26">
    <w:p w14:paraId="1CD52001" w14:textId="77777777" w:rsidR="00471BEB" w:rsidRDefault="00471BEB" w:rsidP="003E3F03">
      <w:pPr>
        <w:pStyle w:val="FootnoteText"/>
        <w:spacing w:after="0" w:line="240" w:lineRule="auto"/>
      </w:pPr>
      <w:r>
        <w:rPr>
          <w:rStyle w:val="FootnoteReference"/>
        </w:rPr>
        <w:footnoteRef/>
      </w:r>
      <w:r>
        <w:t xml:space="preserve"> </w:t>
      </w:r>
      <w:r w:rsidRPr="00C00FAF">
        <w:rPr>
          <w:rFonts w:ascii="Times New Roman" w:hAnsi="Times New Roman"/>
          <w:sz w:val="24"/>
          <w:u w:val="single"/>
        </w:rPr>
        <w:t>Sacks v. Martin</w:t>
      </w:r>
      <w:r w:rsidRPr="0088387F">
        <w:rPr>
          <w:rFonts w:ascii="Times New Roman" w:hAnsi="Times New Roman"/>
          <w:sz w:val="24"/>
        </w:rPr>
        <w:t xml:space="preserve">, 284 Ga. 712, 714 (2008) (quoting </w:t>
      </w:r>
      <w:r w:rsidRPr="00C00FAF">
        <w:rPr>
          <w:rFonts w:ascii="Times New Roman" w:hAnsi="Times New Roman"/>
          <w:sz w:val="24"/>
          <w:u w:val="single"/>
        </w:rPr>
        <w:t>Shahan v. Watkins</w:t>
      </w:r>
      <w:r w:rsidRPr="0088387F">
        <w:rPr>
          <w:rFonts w:ascii="Times New Roman" w:hAnsi="Times New Roman"/>
          <w:sz w:val="24"/>
        </w:rPr>
        <w:t>, 194 Ga. 164, 167 (1942)).</w:t>
      </w:r>
    </w:p>
  </w:footnote>
  <w:footnote w:id="27">
    <w:p w14:paraId="37398E5F" w14:textId="77777777" w:rsidR="00471BEB" w:rsidRDefault="00471BEB" w:rsidP="003E3F03">
      <w:pPr>
        <w:pStyle w:val="FootnoteText"/>
        <w:spacing w:after="0"/>
      </w:pPr>
      <w:r>
        <w:rPr>
          <w:rStyle w:val="FootnoteReference"/>
        </w:rPr>
        <w:footnoteRef/>
      </w:r>
      <w:r>
        <w:t xml:space="preserve"> </w:t>
      </w:r>
      <w:r w:rsidRPr="00C00FAF">
        <w:rPr>
          <w:rFonts w:ascii="Times New Roman" w:hAnsi="Times New Roman"/>
          <w:sz w:val="24"/>
          <w:u w:val="single"/>
        </w:rPr>
        <w:t>MEA Family Inv., LP v. Adams</w:t>
      </w:r>
      <w:r w:rsidRPr="0088387F">
        <w:rPr>
          <w:rFonts w:ascii="Times New Roman" w:hAnsi="Times New Roman"/>
          <w:sz w:val="24"/>
        </w:rPr>
        <w:t>, 284 Ga. 407, 408-09 (2008).</w:t>
      </w:r>
    </w:p>
  </w:footnote>
  <w:footnote w:id="28">
    <w:p w14:paraId="36179B58" w14:textId="77777777" w:rsidR="00471BEB" w:rsidRDefault="00471BEB" w:rsidP="00C00FAF">
      <w:pPr>
        <w:pStyle w:val="FootnoteText"/>
        <w:spacing w:after="0" w:line="240" w:lineRule="auto"/>
      </w:pPr>
      <w:r>
        <w:rPr>
          <w:rStyle w:val="FootnoteReference"/>
        </w:rPr>
        <w:footnoteRef/>
      </w:r>
      <w:r>
        <w:t xml:space="preserve"> </w:t>
      </w:r>
      <w:r w:rsidRPr="00C00FAF">
        <w:rPr>
          <w:rFonts w:ascii="Times New Roman" w:hAnsi="Times New Roman"/>
          <w:sz w:val="24"/>
          <w:u w:val="single"/>
        </w:rPr>
        <w:t>Id</w:t>
      </w:r>
      <w:r w:rsidRPr="0088387F">
        <w:rPr>
          <w:rFonts w:ascii="Times New Roman" w:hAnsi="Times New Roman"/>
          <w:i/>
          <w:sz w:val="24"/>
        </w:rPr>
        <w:t>.</w:t>
      </w:r>
      <w:r w:rsidRPr="0088387F">
        <w:rPr>
          <w:rFonts w:ascii="Times New Roman" w:hAnsi="Times New Roman"/>
          <w:sz w:val="24"/>
        </w:rPr>
        <w:t xml:space="preserve"> at 409.</w:t>
      </w:r>
    </w:p>
  </w:footnote>
  <w:footnote w:id="29">
    <w:p w14:paraId="42AF47B9" w14:textId="77777777" w:rsidR="00471BEB" w:rsidRDefault="00471BEB" w:rsidP="00C00FAF">
      <w:pPr>
        <w:pStyle w:val="FootnoteText"/>
        <w:spacing w:after="0" w:line="240" w:lineRule="auto"/>
      </w:pPr>
      <w:r>
        <w:rPr>
          <w:rStyle w:val="FootnoteReference"/>
        </w:rPr>
        <w:footnoteRef/>
      </w:r>
      <w:r>
        <w:t xml:space="preserve"> </w:t>
      </w:r>
      <w:r w:rsidRPr="00C00FAF">
        <w:rPr>
          <w:rFonts w:ascii="Times New Roman" w:hAnsi="Times New Roman"/>
          <w:sz w:val="24"/>
          <w:u w:val="single"/>
        </w:rPr>
        <w:t>Id</w:t>
      </w:r>
      <w:r w:rsidRPr="0088387F">
        <w:rPr>
          <w:rFonts w:ascii="Times New Roman" w:hAnsi="Times New Roman"/>
          <w:i/>
          <w:sz w:val="24"/>
        </w:rPr>
        <w:t>.</w:t>
      </w:r>
    </w:p>
  </w:footnote>
  <w:footnote w:id="30">
    <w:p w14:paraId="595F6C5B" w14:textId="77777777" w:rsidR="00471BEB" w:rsidRDefault="00471BEB" w:rsidP="00C00FAF">
      <w:pPr>
        <w:pStyle w:val="FootnoteText"/>
        <w:spacing w:after="0" w:line="240" w:lineRule="auto"/>
      </w:pPr>
      <w:r>
        <w:rPr>
          <w:rStyle w:val="FootnoteReference"/>
        </w:rPr>
        <w:footnoteRef/>
      </w:r>
      <w:r>
        <w:t xml:space="preserve"> </w:t>
      </w:r>
      <w:r w:rsidRPr="00C00FAF">
        <w:rPr>
          <w:rFonts w:ascii="Times New Roman" w:hAnsi="Times New Roman"/>
          <w:sz w:val="24"/>
          <w:u w:val="single"/>
        </w:rPr>
        <w:t>Id</w:t>
      </w:r>
      <w:r w:rsidRPr="0088387F">
        <w:rPr>
          <w:rFonts w:ascii="Times New Roman" w:hAnsi="Times New Roman"/>
          <w:i/>
          <w:sz w:val="24"/>
        </w:rPr>
        <w:t>.</w:t>
      </w:r>
      <w:r w:rsidRPr="0088387F">
        <w:rPr>
          <w:rFonts w:ascii="Times New Roman" w:hAnsi="Times New Roman"/>
          <w:sz w:val="24"/>
        </w:rPr>
        <w:t xml:space="preserve"> at 409-10 (quoting </w:t>
      </w:r>
      <w:r w:rsidRPr="00C00FAF">
        <w:rPr>
          <w:rFonts w:ascii="Times New Roman" w:hAnsi="Times New Roman"/>
          <w:sz w:val="24"/>
          <w:u w:val="single"/>
        </w:rPr>
        <w:t>Denham v. Holeman</w:t>
      </w:r>
      <w:r w:rsidRPr="0088387F">
        <w:rPr>
          <w:rFonts w:ascii="Times New Roman" w:hAnsi="Times New Roman"/>
          <w:sz w:val="24"/>
        </w:rPr>
        <w:t>, 26 Ga. 182, 191 (1858)).</w:t>
      </w:r>
    </w:p>
  </w:footnote>
  <w:footnote w:id="31">
    <w:p w14:paraId="3CCCCB55" w14:textId="77777777" w:rsidR="00471BEB" w:rsidRDefault="00471BEB" w:rsidP="00C00FAF">
      <w:pPr>
        <w:pStyle w:val="FootnoteText"/>
        <w:spacing w:after="0" w:line="240" w:lineRule="auto"/>
      </w:pPr>
      <w:r>
        <w:rPr>
          <w:rStyle w:val="FootnoteReference"/>
        </w:rPr>
        <w:footnoteRef/>
      </w:r>
      <w:r>
        <w:t xml:space="preserve"> </w:t>
      </w:r>
      <w:r w:rsidRPr="00C00FAF">
        <w:rPr>
          <w:rFonts w:ascii="Times New Roman" w:hAnsi="Times New Roman"/>
          <w:sz w:val="24"/>
          <w:u w:val="single"/>
        </w:rPr>
        <w:t>Murray v. Stone</w:t>
      </w:r>
      <w:r w:rsidRPr="0088387F">
        <w:rPr>
          <w:rFonts w:ascii="Times New Roman" w:hAnsi="Times New Roman"/>
          <w:sz w:val="24"/>
        </w:rPr>
        <w:t xml:space="preserve">, 283 Ga. 6 (2008).  </w:t>
      </w:r>
    </w:p>
  </w:footnote>
  <w:footnote w:id="32">
    <w:p w14:paraId="17A1416A" w14:textId="77777777" w:rsidR="00471BEB" w:rsidRDefault="00471BEB" w:rsidP="00C00FAF">
      <w:pPr>
        <w:pStyle w:val="FootnoteText"/>
        <w:spacing w:after="0" w:line="240" w:lineRule="auto"/>
      </w:pPr>
      <w:r>
        <w:rPr>
          <w:rStyle w:val="FootnoteReference"/>
        </w:rPr>
        <w:footnoteRef/>
      </w:r>
      <w:r>
        <w:t xml:space="preserve"> </w:t>
      </w:r>
      <w:r w:rsidRPr="00B31E11">
        <w:rPr>
          <w:rFonts w:ascii="Times New Roman" w:hAnsi="Times New Roman"/>
          <w:sz w:val="24"/>
          <w:u w:val="single"/>
        </w:rPr>
        <w:t>Id</w:t>
      </w:r>
      <w:r w:rsidRPr="0088387F">
        <w:rPr>
          <w:rFonts w:ascii="Times New Roman" w:hAnsi="Times New Roman"/>
          <w:i/>
          <w:sz w:val="24"/>
        </w:rPr>
        <w:t>.</w:t>
      </w:r>
      <w:r w:rsidRPr="0088387F">
        <w:rPr>
          <w:rFonts w:ascii="Times New Roman" w:hAnsi="Times New Roman"/>
          <w:sz w:val="24"/>
        </w:rPr>
        <w:t xml:space="preserve"> at 7.</w:t>
      </w:r>
    </w:p>
  </w:footnote>
  <w:footnote w:id="33">
    <w:p w14:paraId="20574891" w14:textId="77777777" w:rsidR="00471BEB" w:rsidRDefault="00471BEB" w:rsidP="00B31E11">
      <w:pPr>
        <w:pStyle w:val="FootnoteText"/>
        <w:spacing w:after="0" w:line="240" w:lineRule="auto"/>
      </w:pPr>
      <w:r>
        <w:rPr>
          <w:rStyle w:val="FootnoteReference"/>
        </w:rPr>
        <w:footnoteRef/>
      </w:r>
      <w:r>
        <w:t xml:space="preserve"> </w:t>
      </w:r>
      <w:r w:rsidRPr="00B31E11">
        <w:rPr>
          <w:rFonts w:ascii="Times New Roman" w:hAnsi="Times New Roman"/>
          <w:sz w:val="24"/>
          <w:u w:val="single"/>
        </w:rPr>
        <w:t>Mobley v. Jackson Chapel Church</w:t>
      </w:r>
      <w:r w:rsidRPr="0088387F">
        <w:rPr>
          <w:rFonts w:ascii="Times New Roman" w:hAnsi="Times New Roman"/>
          <w:sz w:val="24"/>
        </w:rPr>
        <w:t>, 281 Ga. 122, 123-24 (2006).</w:t>
      </w:r>
    </w:p>
  </w:footnote>
  <w:footnote w:id="34">
    <w:p w14:paraId="4F8799F9" w14:textId="77777777" w:rsidR="00471BEB" w:rsidRDefault="00471BEB" w:rsidP="00B31E11">
      <w:pPr>
        <w:pStyle w:val="FootnoteText"/>
        <w:spacing w:after="0" w:line="240" w:lineRule="auto"/>
      </w:pPr>
      <w:r>
        <w:rPr>
          <w:rStyle w:val="FootnoteReference"/>
        </w:rPr>
        <w:footnoteRef/>
      </w:r>
      <w:r>
        <w:t xml:space="preserve"> </w:t>
      </w:r>
      <w:r w:rsidRPr="00B31E11">
        <w:rPr>
          <w:rFonts w:ascii="Times New Roman" w:hAnsi="Times New Roman"/>
          <w:sz w:val="24"/>
          <w:u w:val="single"/>
        </w:rPr>
        <w:t>Friendship Baptist Church, Inc. v. West</w:t>
      </w:r>
      <w:r w:rsidRPr="0088387F">
        <w:rPr>
          <w:rFonts w:ascii="Times New Roman" w:hAnsi="Times New Roman"/>
          <w:sz w:val="24"/>
        </w:rPr>
        <w:t>, 265 Ga. 745, 745-46 (1995).</w:t>
      </w:r>
    </w:p>
  </w:footnote>
  <w:footnote w:id="35">
    <w:p w14:paraId="202AC13F" w14:textId="77777777" w:rsidR="00471BEB" w:rsidRDefault="00471BEB" w:rsidP="00B31E11">
      <w:pPr>
        <w:pStyle w:val="FootnoteText"/>
        <w:spacing w:after="0" w:line="240" w:lineRule="auto"/>
      </w:pPr>
      <w:r>
        <w:rPr>
          <w:rStyle w:val="FootnoteReference"/>
        </w:rPr>
        <w:footnoteRef/>
      </w:r>
      <w:r>
        <w:t xml:space="preserve"> </w:t>
      </w:r>
      <w:r w:rsidRPr="00B31E11">
        <w:rPr>
          <w:rFonts w:ascii="Times New Roman" w:hAnsi="Times New Roman"/>
          <w:sz w:val="24"/>
          <w:u w:val="single"/>
        </w:rPr>
        <w:t>Byrd</w:t>
      </w:r>
      <w:r w:rsidRPr="0088387F">
        <w:rPr>
          <w:rFonts w:ascii="Times New Roman" w:hAnsi="Times New Roman"/>
          <w:sz w:val="24"/>
        </w:rPr>
        <w:t xml:space="preserve">, 279 Ga. App. at 887 (citing </w:t>
      </w:r>
      <w:r w:rsidRPr="00B31E11">
        <w:rPr>
          <w:rFonts w:ascii="Times New Roman" w:hAnsi="Times New Roman"/>
          <w:sz w:val="24"/>
          <w:u w:val="single"/>
        </w:rPr>
        <w:t>Brown v. Williams</w:t>
      </w:r>
      <w:r w:rsidRPr="0088387F">
        <w:rPr>
          <w:rFonts w:ascii="Times New Roman" w:hAnsi="Times New Roman"/>
          <w:sz w:val="24"/>
        </w:rPr>
        <w:t>, 259 Ga. 6 (1989)).</w:t>
      </w:r>
    </w:p>
  </w:footnote>
  <w:footnote w:id="36">
    <w:p w14:paraId="234454EC" w14:textId="77777777" w:rsidR="00471BEB" w:rsidRDefault="00471BEB" w:rsidP="00B31E11">
      <w:pPr>
        <w:pStyle w:val="FootnoteText"/>
        <w:spacing w:after="0" w:line="240" w:lineRule="auto"/>
      </w:pPr>
      <w:r>
        <w:rPr>
          <w:rStyle w:val="FootnoteReference"/>
        </w:rPr>
        <w:footnoteRef/>
      </w:r>
      <w:r>
        <w:t xml:space="preserve"> </w:t>
      </w:r>
      <w:r w:rsidRPr="00B31E11">
        <w:rPr>
          <w:rFonts w:ascii="Times New Roman" w:hAnsi="Times New Roman"/>
          <w:sz w:val="24"/>
          <w:u w:val="single"/>
        </w:rPr>
        <w:t>Georgia Power Co</w:t>
      </w:r>
      <w:r w:rsidRPr="0088387F">
        <w:rPr>
          <w:rFonts w:ascii="Times New Roman" w:hAnsi="Times New Roman"/>
          <w:i/>
          <w:sz w:val="24"/>
        </w:rPr>
        <w:t>.</w:t>
      </w:r>
      <w:r w:rsidRPr="0088387F">
        <w:rPr>
          <w:rFonts w:ascii="Times New Roman" w:hAnsi="Times New Roman"/>
          <w:sz w:val="24"/>
        </w:rPr>
        <w:t>, 267 Ga. at 367-68.</w:t>
      </w:r>
    </w:p>
  </w:footnote>
  <w:footnote w:id="37">
    <w:p w14:paraId="0F7A9CB5" w14:textId="77777777" w:rsidR="00471BEB" w:rsidRDefault="00471BEB" w:rsidP="002552B1">
      <w:pPr>
        <w:pStyle w:val="FootnoteText"/>
        <w:spacing w:after="0" w:line="240" w:lineRule="auto"/>
      </w:pPr>
      <w:r>
        <w:rPr>
          <w:rStyle w:val="FootnoteReference"/>
        </w:rPr>
        <w:footnoteRef/>
      </w:r>
      <w:r>
        <w:t xml:space="preserve"> </w:t>
      </w:r>
      <w:r w:rsidRPr="002552B1">
        <w:rPr>
          <w:rFonts w:ascii="Times New Roman" w:hAnsi="Times New Roman"/>
          <w:sz w:val="24"/>
          <w:u w:val="single"/>
        </w:rPr>
        <w:t>Ga. Power Co. v. Irvin</w:t>
      </w:r>
      <w:r w:rsidRPr="000975F8">
        <w:rPr>
          <w:rFonts w:ascii="Times New Roman" w:hAnsi="Times New Roman"/>
          <w:sz w:val="24"/>
        </w:rPr>
        <w:t xml:space="preserve">, 267 Ga. at 366 (quoting </w:t>
      </w:r>
      <w:r w:rsidRPr="002552B1">
        <w:rPr>
          <w:rFonts w:ascii="Times New Roman" w:hAnsi="Times New Roman"/>
          <w:sz w:val="24"/>
          <w:u w:val="single"/>
        </w:rPr>
        <w:t>Carter v. Becton</w:t>
      </w:r>
      <w:r w:rsidRPr="000975F8">
        <w:rPr>
          <w:rFonts w:ascii="Times New Roman" w:hAnsi="Times New Roman"/>
          <w:sz w:val="24"/>
        </w:rPr>
        <w:t>, 250 Ga. 617, 618 (1983)).</w:t>
      </w:r>
    </w:p>
  </w:footnote>
  <w:footnote w:id="38">
    <w:p w14:paraId="6DDA7D5B" w14:textId="77777777" w:rsidR="00471BEB" w:rsidRDefault="00471BEB" w:rsidP="002552B1">
      <w:pPr>
        <w:pStyle w:val="FootnoteText"/>
        <w:spacing w:after="0" w:line="240" w:lineRule="auto"/>
      </w:pPr>
      <w:r>
        <w:rPr>
          <w:rStyle w:val="FootnoteReference"/>
        </w:rPr>
        <w:footnoteRef/>
      </w:r>
      <w:r>
        <w:t xml:space="preserve"> </w:t>
      </w:r>
      <w:r w:rsidRPr="002552B1">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(quoting </w:t>
      </w:r>
      <w:r w:rsidRPr="002552B1">
        <w:rPr>
          <w:rFonts w:ascii="Times New Roman" w:hAnsi="Times New Roman"/>
          <w:sz w:val="24"/>
          <w:u w:val="single"/>
        </w:rPr>
        <w:t>Carter</w:t>
      </w:r>
      <w:r w:rsidRPr="000975F8">
        <w:rPr>
          <w:rFonts w:ascii="Times New Roman" w:hAnsi="Times New Roman"/>
          <w:sz w:val="24"/>
        </w:rPr>
        <w:t>, 250 Ga. at 618 and 3 Am. Jur. 2d 170, 171, Adverse Possession § 75).</w:t>
      </w:r>
    </w:p>
  </w:footnote>
  <w:footnote w:id="39">
    <w:p w14:paraId="7207EF56" w14:textId="77777777" w:rsidR="00471BEB" w:rsidRDefault="00471BEB" w:rsidP="002552B1">
      <w:pPr>
        <w:pStyle w:val="FootnoteText"/>
        <w:spacing w:after="0" w:line="240" w:lineRule="auto"/>
      </w:pPr>
      <w:r>
        <w:rPr>
          <w:rStyle w:val="FootnoteReference"/>
        </w:rPr>
        <w:footnoteRef/>
      </w:r>
      <w:r>
        <w:t xml:space="preserve"> </w:t>
      </w:r>
      <w:r w:rsidRPr="002552B1">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at 367.  </w:t>
      </w:r>
    </w:p>
  </w:footnote>
  <w:footnote w:id="40">
    <w:p w14:paraId="3575AA02" w14:textId="77777777" w:rsidR="00471BEB" w:rsidRDefault="00471BEB" w:rsidP="002552B1">
      <w:pPr>
        <w:pStyle w:val="FootnoteText"/>
        <w:spacing w:after="0" w:line="240" w:lineRule="auto"/>
      </w:pPr>
      <w:r>
        <w:rPr>
          <w:rStyle w:val="FootnoteReference"/>
        </w:rPr>
        <w:footnoteRef/>
      </w:r>
      <w:r>
        <w:t xml:space="preserve"> </w:t>
      </w:r>
      <w:r w:rsidRPr="002552B1">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w:t>
      </w:r>
    </w:p>
  </w:footnote>
  <w:footnote w:id="41">
    <w:p w14:paraId="7E07DAA0" w14:textId="77777777" w:rsidR="00471BEB" w:rsidRDefault="00471BEB" w:rsidP="002552B1">
      <w:pPr>
        <w:pStyle w:val="FootnoteText"/>
        <w:spacing w:after="0" w:line="240" w:lineRule="auto"/>
      </w:pPr>
      <w:r>
        <w:rPr>
          <w:rStyle w:val="FootnoteReference"/>
        </w:rPr>
        <w:footnoteRef/>
      </w:r>
      <w:r>
        <w:t xml:space="preserve"> </w:t>
      </w:r>
      <w:r w:rsidRPr="002552B1">
        <w:rPr>
          <w:rFonts w:ascii="Times New Roman" w:hAnsi="Times New Roman"/>
          <w:sz w:val="24"/>
          <w:u w:val="single"/>
        </w:rPr>
        <w:t>Id</w:t>
      </w:r>
      <w:r w:rsidRPr="000975F8">
        <w:rPr>
          <w:rFonts w:ascii="Times New Roman" w:hAnsi="Times New Roman"/>
          <w:i/>
          <w:sz w:val="24"/>
        </w:rPr>
        <w:t>.</w:t>
      </w:r>
    </w:p>
  </w:footnote>
  <w:footnote w:id="42">
    <w:p w14:paraId="0E5B2C68" w14:textId="77777777" w:rsidR="00471BEB" w:rsidRDefault="00471BEB" w:rsidP="00B12FD4">
      <w:pPr>
        <w:pStyle w:val="FootnoteText"/>
        <w:spacing w:after="0" w:line="240" w:lineRule="auto"/>
      </w:pPr>
      <w:r>
        <w:rPr>
          <w:rStyle w:val="FootnoteReference"/>
        </w:rPr>
        <w:footnoteRef/>
      </w:r>
      <w:r>
        <w:t xml:space="preserve"> </w:t>
      </w:r>
      <w:r w:rsidRPr="00B12FD4">
        <w:rPr>
          <w:rFonts w:ascii="Times New Roman" w:hAnsi="Times New Roman"/>
          <w:sz w:val="24"/>
          <w:u w:val="single"/>
        </w:rPr>
        <w:t>Henson v. Tucker</w:t>
      </w:r>
      <w:r w:rsidRPr="000975F8">
        <w:rPr>
          <w:rFonts w:ascii="Times New Roman" w:hAnsi="Times New Roman"/>
          <w:sz w:val="24"/>
        </w:rPr>
        <w:t xml:space="preserve">, 278 Ga. App. 859, 862 (2006) (quoting </w:t>
      </w:r>
      <w:r w:rsidRPr="00B12FD4">
        <w:rPr>
          <w:rFonts w:ascii="Times New Roman" w:hAnsi="Times New Roman"/>
          <w:sz w:val="24"/>
          <w:u w:val="single"/>
        </w:rPr>
        <w:t>Walker v. Steffes</w:t>
      </w:r>
      <w:r w:rsidRPr="000975F8">
        <w:rPr>
          <w:rFonts w:ascii="Times New Roman" w:hAnsi="Times New Roman"/>
          <w:sz w:val="24"/>
        </w:rPr>
        <w:t>, 139 Ga. 520, 521 (1913)).</w:t>
      </w:r>
    </w:p>
  </w:footnote>
  <w:footnote w:id="43">
    <w:p w14:paraId="5AC3440F" w14:textId="77777777" w:rsidR="00471BEB" w:rsidRDefault="00471BEB" w:rsidP="00B12FD4">
      <w:pPr>
        <w:pStyle w:val="FootnoteText"/>
        <w:spacing w:after="0" w:line="240" w:lineRule="auto"/>
      </w:pPr>
      <w:r>
        <w:rPr>
          <w:rStyle w:val="FootnoteReference"/>
        </w:rPr>
        <w:footnoteRef/>
      </w:r>
      <w:r>
        <w:t xml:space="preserve"> </w:t>
      </w:r>
      <w:r w:rsidRPr="00B12FD4">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at 862-63 (citing </w:t>
      </w:r>
      <w:r w:rsidRPr="00B12FD4">
        <w:rPr>
          <w:rFonts w:ascii="Times New Roman" w:hAnsi="Times New Roman"/>
          <w:sz w:val="24"/>
          <w:u w:val="single"/>
        </w:rPr>
        <w:t>Walker</w:t>
      </w:r>
      <w:r w:rsidRPr="000975F8">
        <w:rPr>
          <w:rFonts w:ascii="Times New Roman" w:hAnsi="Times New Roman"/>
          <w:sz w:val="24"/>
        </w:rPr>
        <w:t>, 139 Ga. at 521-22).</w:t>
      </w:r>
    </w:p>
  </w:footnote>
  <w:footnote w:id="44">
    <w:p w14:paraId="1016C8B9" w14:textId="77777777" w:rsidR="00471BEB" w:rsidRDefault="00471BEB" w:rsidP="00B12FD4">
      <w:pPr>
        <w:pStyle w:val="FootnoteText"/>
        <w:spacing w:after="0" w:line="240" w:lineRule="auto"/>
      </w:pPr>
      <w:r>
        <w:rPr>
          <w:rStyle w:val="FootnoteReference"/>
        </w:rPr>
        <w:footnoteRef/>
      </w:r>
      <w:r>
        <w:t xml:space="preserve"> </w:t>
      </w:r>
      <w:r w:rsidRPr="00B12FD4">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at 863.</w:t>
      </w:r>
    </w:p>
  </w:footnote>
  <w:footnote w:id="45">
    <w:p w14:paraId="551F0971" w14:textId="77777777" w:rsidR="00471BEB" w:rsidRDefault="00471BEB" w:rsidP="00B12FD4">
      <w:pPr>
        <w:pStyle w:val="FootnoteText"/>
        <w:spacing w:after="0" w:line="240" w:lineRule="auto"/>
      </w:pPr>
      <w:r>
        <w:rPr>
          <w:rStyle w:val="FootnoteReference"/>
        </w:rPr>
        <w:footnoteRef/>
      </w:r>
      <w:r>
        <w:t xml:space="preserve"> </w:t>
      </w:r>
      <w:r w:rsidRPr="00B12FD4">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at 59.  </w:t>
      </w:r>
    </w:p>
  </w:footnote>
  <w:footnote w:id="46">
    <w:p w14:paraId="22BA22A6" w14:textId="77777777" w:rsidR="00471BEB" w:rsidRDefault="00471BEB" w:rsidP="00B12FD4">
      <w:pPr>
        <w:pStyle w:val="FootnoteText"/>
        <w:spacing w:after="0" w:line="240" w:lineRule="auto"/>
      </w:pPr>
      <w:r>
        <w:rPr>
          <w:rStyle w:val="FootnoteReference"/>
        </w:rPr>
        <w:footnoteRef/>
      </w:r>
      <w:r>
        <w:t xml:space="preserve"> </w:t>
      </w:r>
      <w:r w:rsidRPr="00B12FD4">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w:t>
      </w:r>
    </w:p>
  </w:footnote>
  <w:footnote w:id="47">
    <w:p w14:paraId="59CFF1AD" w14:textId="77777777" w:rsidR="00471BEB" w:rsidRDefault="00471BEB">
      <w:pPr>
        <w:pStyle w:val="FootnoteText"/>
      </w:pPr>
      <w:r>
        <w:rPr>
          <w:rStyle w:val="FootnoteReference"/>
        </w:rPr>
        <w:footnoteRef/>
      </w:r>
      <w:r>
        <w:t xml:space="preserve"> </w:t>
      </w:r>
      <w:r w:rsidRPr="00B12FD4">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w:t>
      </w:r>
      <w:r w:rsidRPr="00B12FD4">
        <w:rPr>
          <w:rFonts w:ascii="Times New Roman" w:hAnsi="Times New Roman"/>
          <w:sz w:val="24"/>
          <w:u w:val="single"/>
        </w:rPr>
        <w:t>See</w:t>
      </w:r>
      <w:r w:rsidRPr="000975F8">
        <w:rPr>
          <w:rFonts w:ascii="Times New Roman" w:hAnsi="Times New Roman"/>
          <w:i/>
          <w:sz w:val="24"/>
        </w:rPr>
        <w:t xml:space="preserve"> </w:t>
      </w:r>
      <w:r w:rsidRPr="00B12FD4">
        <w:rPr>
          <w:rFonts w:ascii="Times New Roman" w:hAnsi="Times New Roman"/>
          <w:sz w:val="24"/>
          <w:u w:val="single"/>
        </w:rPr>
        <w:t>also</w:t>
      </w:r>
      <w:r w:rsidRPr="000975F8">
        <w:rPr>
          <w:rFonts w:ascii="Times New Roman" w:hAnsi="Times New Roman"/>
          <w:i/>
          <w:sz w:val="24"/>
        </w:rPr>
        <w:t xml:space="preserve"> </w:t>
      </w:r>
      <w:r w:rsidRPr="00B12FD4">
        <w:rPr>
          <w:rFonts w:ascii="Times New Roman" w:hAnsi="Times New Roman"/>
          <w:sz w:val="24"/>
          <w:u w:val="single"/>
        </w:rPr>
        <w:t>Gurley v. East Atlanta Land Co.</w:t>
      </w:r>
      <w:r w:rsidRPr="000975F8">
        <w:rPr>
          <w:rFonts w:ascii="Times New Roman" w:hAnsi="Times New Roman"/>
          <w:sz w:val="24"/>
        </w:rPr>
        <w:t>, 276 Ga. 749, 750 (2003) (sporadic use of the property by some of claimant’s tenants was insufficient to show uninterrupted and continuous possession to establish adverse possession).</w:t>
      </w:r>
    </w:p>
  </w:footnote>
  <w:footnote w:id="48">
    <w:p w14:paraId="19775C9B" w14:textId="77777777" w:rsidR="00471BEB" w:rsidRDefault="00471BEB" w:rsidP="00426AE8">
      <w:pPr>
        <w:pStyle w:val="FootnoteText"/>
        <w:spacing w:after="0" w:line="240" w:lineRule="auto"/>
      </w:pPr>
      <w:r>
        <w:rPr>
          <w:rStyle w:val="FootnoteReference"/>
        </w:rPr>
        <w:footnoteRef/>
      </w:r>
      <w:r>
        <w:t xml:space="preserve"> </w:t>
      </w:r>
      <w:r w:rsidRPr="00B12FD4">
        <w:rPr>
          <w:rFonts w:ascii="Times New Roman" w:hAnsi="Times New Roman"/>
          <w:sz w:val="24"/>
          <w:u w:val="single"/>
        </w:rPr>
        <w:t>Walker v. Sapelo Island Heritage Auth</w:t>
      </w:r>
      <w:r w:rsidRPr="000975F8">
        <w:rPr>
          <w:rFonts w:ascii="Times New Roman" w:hAnsi="Times New Roman"/>
          <w:i/>
          <w:sz w:val="24"/>
        </w:rPr>
        <w:t>.</w:t>
      </w:r>
      <w:r w:rsidRPr="000975F8">
        <w:rPr>
          <w:rFonts w:ascii="Times New Roman" w:hAnsi="Times New Roman"/>
          <w:sz w:val="24"/>
        </w:rPr>
        <w:t xml:space="preserve">, 285 Ga. 194, 196 (2009) (quoting </w:t>
      </w:r>
      <w:r w:rsidRPr="00B12FD4">
        <w:rPr>
          <w:rFonts w:ascii="Times New Roman" w:hAnsi="Times New Roman"/>
          <w:sz w:val="24"/>
          <w:u w:val="single"/>
        </w:rPr>
        <w:t>Ewing v. Tanner</w:t>
      </w:r>
      <w:r w:rsidRPr="000975F8">
        <w:rPr>
          <w:rFonts w:ascii="Times New Roman" w:hAnsi="Times New Roman"/>
          <w:sz w:val="24"/>
        </w:rPr>
        <w:t>, 184 Ga. 773, 780 (1937)).</w:t>
      </w:r>
    </w:p>
  </w:footnote>
  <w:footnote w:id="49">
    <w:p w14:paraId="13286939" w14:textId="77777777" w:rsidR="00471BEB" w:rsidRDefault="00471BEB" w:rsidP="00426AE8">
      <w:pPr>
        <w:pStyle w:val="FootnoteText"/>
        <w:spacing w:after="0" w:line="240" w:lineRule="auto"/>
      </w:pPr>
      <w:r>
        <w:rPr>
          <w:rStyle w:val="FootnoteReference"/>
        </w:rPr>
        <w:footnoteRef/>
      </w:r>
      <w:r>
        <w:t xml:space="preserve"> </w:t>
      </w:r>
      <w:r w:rsidRPr="00B12FD4">
        <w:rPr>
          <w:rFonts w:ascii="Times New Roman" w:hAnsi="Times New Roman"/>
          <w:sz w:val="24"/>
          <w:u w:val="single"/>
        </w:rPr>
        <w:t>Kelley v. Randolph</w:t>
      </w:r>
      <w:r w:rsidRPr="000975F8">
        <w:rPr>
          <w:rFonts w:ascii="Times New Roman" w:hAnsi="Times New Roman"/>
          <w:sz w:val="24"/>
        </w:rPr>
        <w:t xml:space="preserve">, 295 Ga. 721, 723 (2014) (citing </w:t>
      </w:r>
      <w:r w:rsidRPr="00426AE8">
        <w:rPr>
          <w:rFonts w:ascii="Times New Roman" w:hAnsi="Times New Roman"/>
          <w:sz w:val="24"/>
          <w:u w:val="single"/>
        </w:rPr>
        <w:t>Childs v. Sammons</w:t>
      </w:r>
      <w:r w:rsidRPr="000975F8">
        <w:rPr>
          <w:rFonts w:ascii="Times New Roman" w:hAnsi="Times New Roman"/>
          <w:sz w:val="24"/>
        </w:rPr>
        <w:t>, 272 Ga. 737. 739 (2000)).</w:t>
      </w:r>
    </w:p>
  </w:footnote>
  <w:footnote w:id="50">
    <w:p w14:paraId="10596B0E" w14:textId="77777777" w:rsidR="00471BEB" w:rsidRDefault="00471BEB" w:rsidP="00426AE8">
      <w:pPr>
        <w:pStyle w:val="FootnoteText"/>
        <w:spacing w:after="0" w:line="240" w:lineRule="auto"/>
      </w:pPr>
      <w:r>
        <w:rPr>
          <w:rStyle w:val="FootnoteReference"/>
        </w:rPr>
        <w:footnoteRef/>
      </w:r>
      <w:r>
        <w:t xml:space="preserve"> </w:t>
      </w:r>
      <w:r w:rsidRPr="00426AE8">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at 723 n.1 (quoting </w:t>
      </w:r>
      <w:r w:rsidRPr="00426AE8">
        <w:rPr>
          <w:rFonts w:ascii="Times New Roman" w:hAnsi="Times New Roman"/>
          <w:sz w:val="24"/>
          <w:u w:val="single"/>
        </w:rPr>
        <w:t>Ellis v. Dasher</w:t>
      </w:r>
      <w:r w:rsidRPr="000975F8">
        <w:rPr>
          <w:rFonts w:ascii="Times New Roman" w:hAnsi="Times New Roman"/>
          <w:sz w:val="24"/>
        </w:rPr>
        <w:t>, 101 Ga. 5, 9-10 (1897)).</w:t>
      </w:r>
    </w:p>
  </w:footnote>
  <w:footnote w:id="51">
    <w:p w14:paraId="516CA62B" w14:textId="77777777" w:rsidR="00471BEB" w:rsidRDefault="00471BEB" w:rsidP="00426AE8">
      <w:pPr>
        <w:pStyle w:val="FootnoteText"/>
        <w:spacing w:after="0" w:line="240" w:lineRule="auto"/>
      </w:pPr>
      <w:r>
        <w:rPr>
          <w:rStyle w:val="FootnoteReference"/>
        </w:rPr>
        <w:footnoteRef/>
      </w:r>
      <w:r>
        <w:t xml:space="preserve"> </w:t>
      </w:r>
      <w:r w:rsidRPr="00426AE8">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at 197.  </w:t>
      </w:r>
    </w:p>
  </w:footnote>
  <w:footnote w:id="52">
    <w:p w14:paraId="502F8E4C" w14:textId="77777777" w:rsidR="00471BEB" w:rsidRDefault="00471BEB" w:rsidP="00426AE8">
      <w:pPr>
        <w:pStyle w:val="FootnoteText"/>
        <w:spacing w:after="0" w:line="240" w:lineRule="auto"/>
      </w:pPr>
      <w:r>
        <w:rPr>
          <w:rStyle w:val="FootnoteReference"/>
        </w:rPr>
        <w:footnoteRef/>
      </w:r>
      <w:r>
        <w:t xml:space="preserve"> </w:t>
      </w:r>
      <w:r w:rsidRPr="00426AE8">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w:t>
      </w:r>
    </w:p>
  </w:footnote>
  <w:footnote w:id="53">
    <w:p w14:paraId="4B72C8CF" w14:textId="77777777" w:rsidR="00471BEB" w:rsidRDefault="00471BEB" w:rsidP="00415918">
      <w:pPr>
        <w:pStyle w:val="FootnoteText"/>
        <w:spacing w:after="0" w:line="240" w:lineRule="auto"/>
      </w:pPr>
      <w:r>
        <w:rPr>
          <w:rStyle w:val="FootnoteReference"/>
        </w:rPr>
        <w:footnoteRef/>
      </w:r>
      <w:r>
        <w:t xml:space="preserve"> </w:t>
      </w:r>
      <w:r w:rsidRPr="00426AE8">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at 198 (citations omitted).  </w:t>
      </w:r>
    </w:p>
  </w:footnote>
  <w:footnote w:id="54">
    <w:p w14:paraId="0D8E86D1" w14:textId="77777777" w:rsidR="00471BEB" w:rsidRDefault="00471BEB" w:rsidP="00415918">
      <w:pPr>
        <w:pStyle w:val="FootnoteText"/>
        <w:spacing w:after="0" w:line="240" w:lineRule="auto"/>
      </w:pPr>
      <w:r>
        <w:rPr>
          <w:rStyle w:val="FootnoteReference"/>
        </w:rPr>
        <w:footnoteRef/>
      </w:r>
      <w:r>
        <w:t xml:space="preserve"> </w:t>
      </w:r>
      <w:r w:rsidRPr="00426AE8">
        <w:rPr>
          <w:rFonts w:ascii="Times New Roman" w:hAnsi="Times New Roman"/>
          <w:sz w:val="24"/>
          <w:u w:val="single"/>
        </w:rPr>
        <w:t>Id</w:t>
      </w:r>
      <w:r w:rsidRPr="000975F8">
        <w:rPr>
          <w:rFonts w:ascii="Times New Roman" w:hAnsi="Times New Roman"/>
          <w:i/>
          <w:sz w:val="24"/>
        </w:rPr>
        <w:t xml:space="preserve">.  </w:t>
      </w:r>
      <w:r w:rsidRPr="00426AE8">
        <w:rPr>
          <w:rFonts w:ascii="Times New Roman" w:hAnsi="Times New Roman"/>
          <w:sz w:val="24"/>
          <w:u w:val="single"/>
        </w:rPr>
        <w:t>See</w:t>
      </w:r>
      <w:r w:rsidRPr="000975F8">
        <w:rPr>
          <w:rFonts w:ascii="Times New Roman" w:hAnsi="Times New Roman"/>
          <w:i/>
          <w:sz w:val="24"/>
        </w:rPr>
        <w:t xml:space="preserve"> </w:t>
      </w:r>
      <w:r w:rsidRPr="00426AE8">
        <w:rPr>
          <w:rFonts w:ascii="Times New Roman" w:hAnsi="Times New Roman"/>
          <w:sz w:val="24"/>
          <w:u w:val="single"/>
        </w:rPr>
        <w:t>also</w:t>
      </w:r>
      <w:r w:rsidRPr="000975F8">
        <w:rPr>
          <w:rFonts w:ascii="Times New Roman" w:hAnsi="Times New Roman"/>
          <w:sz w:val="24"/>
        </w:rPr>
        <w:t xml:space="preserve"> </w:t>
      </w:r>
      <w:r w:rsidRPr="00426AE8">
        <w:rPr>
          <w:rFonts w:ascii="Times New Roman" w:hAnsi="Times New Roman"/>
          <w:sz w:val="24"/>
          <w:u w:val="single"/>
        </w:rPr>
        <w:t>Congress Street Properties, LLC v. Garibaldi’s, Inc</w:t>
      </w:r>
      <w:r w:rsidRPr="000975F8">
        <w:rPr>
          <w:rFonts w:ascii="Times New Roman" w:hAnsi="Times New Roman"/>
          <w:i/>
          <w:sz w:val="24"/>
        </w:rPr>
        <w:t>.</w:t>
      </w:r>
      <w:r w:rsidRPr="000975F8">
        <w:rPr>
          <w:rFonts w:ascii="Times New Roman" w:hAnsi="Times New Roman"/>
          <w:sz w:val="24"/>
        </w:rPr>
        <w:t>, 314 Ga. App. 143, 145 (2012) (holding that a claim of right “will be presumed from the assertion of dominion, particularly where the assertion of dominion is made by the erection of valuable improvements”).</w:t>
      </w:r>
    </w:p>
  </w:footnote>
  <w:footnote w:id="55">
    <w:p w14:paraId="2FD6BCB2" w14:textId="77777777" w:rsidR="00471BEB" w:rsidRDefault="00471BEB" w:rsidP="00415918">
      <w:pPr>
        <w:pStyle w:val="FootnoteText"/>
        <w:spacing w:after="0" w:line="240" w:lineRule="auto"/>
      </w:pPr>
      <w:r>
        <w:rPr>
          <w:rStyle w:val="FootnoteReference"/>
        </w:rPr>
        <w:footnoteRef/>
      </w:r>
      <w:r>
        <w:t xml:space="preserve"> </w:t>
      </w:r>
      <w:r w:rsidRPr="000975F8">
        <w:rPr>
          <w:rFonts w:ascii="Times New Roman" w:hAnsi="Times New Roman"/>
          <w:sz w:val="24"/>
        </w:rPr>
        <w:t>O.C.G.A. § 44-5-161(b).</w:t>
      </w:r>
    </w:p>
  </w:footnote>
  <w:footnote w:id="56">
    <w:p w14:paraId="5C11B80D" w14:textId="77777777" w:rsidR="00471BEB" w:rsidRDefault="00471BEB" w:rsidP="00415918">
      <w:pPr>
        <w:pStyle w:val="FootnoteText"/>
        <w:spacing w:after="0" w:line="240" w:lineRule="auto"/>
      </w:pPr>
      <w:r>
        <w:rPr>
          <w:rStyle w:val="FootnoteReference"/>
        </w:rPr>
        <w:footnoteRef/>
      </w:r>
      <w:r>
        <w:t xml:space="preserve"> </w:t>
      </w:r>
      <w:r w:rsidRPr="000975F8">
        <w:rPr>
          <w:rFonts w:ascii="Times New Roman" w:hAnsi="Times New Roman"/>
          <w:sz w:val="24"/>
        </w:rPr>
        <w:t xml:space="preserve">314 Ga. App. at 144.  </w:t>
      </w:r>
    </w:p>
  </w:footnote>
  <w:footnote w:id="57">
    <w:p w14:paraId="2ECEBE30" w14:textId="77777777" w:rsidR="00471BEB" w:rsidRDefault="00471BEB" w:rsidP="00415918">
      <w:pPr>
        <w:pStyle w:val="FootnoteText"/>
        <w:spacing w:after="0" w:line="240" w:lineRule="auto"/>
      </w:pPr>
      <w:r>
        <w:rPr>
          <w:rStyle w:val="FootnoteReference"/>
        </w:rPr>
        <w:footnoteRef/>
      </w:r>
      <w:r>
        <w:t xml:space="preserve"> </w:t>
      </w:r>
      <w:r w:rsidRPr="00415918">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w:t>
      </w:r>
    </w:p>
  </w:footnote>
  <w:footnote w:id="58">
    <w:p w14:paraId="4C630DC1" w14:textId="77777777" w:rsidR="00471BEB" w:rsidRDefault="00471BEB" w:rsidP="00415918">
      <w:pPr>
        <w:pStyle w:val="FootnoteText"/>
        <w:spacing w:after="0" w:line="240" w:lineRule="auto"/>
      </w:pPr>
      <w:r>
        <w:rPr>
          <w:rStyle w:val="FootnoteReference"/>
        </w:rPr>
        <w:footnoteRef/>
      </w:r>
      <w:r>
        <w:t xml:space="preserve"> </w:t>
      </w:r>
      <w:r w:rsidRPr="00415918">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w:t>
      </w:r>
    </w:p>
  </w:footnote>
  <w:footnote w:id="59">
    <w:p w14:paraId="0F13888C" w14:textId="77777777" w:rsidR="00471BEB" w:rsidRDefault="00471BEB" w:rsidP="00415918">
      <w:pPr>
        <w:pStyle w:val="FootnoteText"/>
        <w:spacing w:after="0" w:line="240" w:lineRule="auto"/>
      </w:pPr>
      <w:r>
        <w:rPr>
          <w:rStyle w:val="FootnoteReference"/>
        </w:rPr>
        <w:footnoteRef/>
      </w:r>
      <w:r>
        <w:t xml:space="preserve"> </w:t>
      </w:r>
      <w:r w:rsidRPr="00415918">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w:t>
      </w:r>
    </w:p>
  </w:footnote>
  <w:footnote w:id="60">
    <w:p w14:paraId="7B6A17C1" w14:textId="77777777" w:rsidR="00471BEB" w:rsidRDefault="00471BEB" w:rsidP="00415918">
      <w:pPr>
        <w:pStyle w:val="FootnoteText"/>
        <w:spacing w:after="0"/>
      </w:pPr>
      <w:r>
        <w:rPr>
          <w:rStyle w:val="FootnoteReference"/>
        </w:rPr>
        <w:footnoteRef/>
      </w:r>
      <w:r>
        <w:t xml:space="preserve"> </w:t>
      </w:r>
      <w:r w:rsidRPr="00415918">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w:t>
      </w:r>
    </w:p>
  </w:footnote>
  <w:footnote w:id="61">
    <w:p w14:paraId="301E5075" w14:textId="77777777" w:rsidR="00471BEB" w:rsidRDefault="00471BEB" w:rsidP="003E3F03">
      <w:pPr>
        <w:pStyle w:val="FootnoteText"/>
        <w:spacing w:after="0"/>
      </w:pPr>
      <w:r>
        <w:rPr>
          <w:rStyle w:val="FootnoteReference"/>
        </w:rPr>
        <w:footnoteRef/>
      </w:r>
      <w:r>
        <w:t xml:space="preserve"> </w:t>
      </w:r>
      <w:r w:rsidRPr="00415918">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w:t>
      </w:r>
    </w:p>
  </w:footnote>
  <w:footnote w:id="62">
    <w:p w14:paraId="16017066" w14:textId="77777777" w:rsidR="00471BEB" w:rsidRDefault="00471BEB" w:rsidP="00763992">
      <w:pPr>
        <w:pStyle w:val="FootnoteText"/>
        <w:spacing w:after="0" w:line="240" w:lineRule="auto"/>
      </w:pPr>
      <w:r>
        <w:rPr>
          <w:rStyle w:val="FootnoteReference"/>
        </w:rPr>
        <w:footnoteRef/>
      </w:r>
      <w:r>
        <w:t xml:space="preserve"> </w:t>
      </w:r>
      <w:r w:rsidRPr="00763992">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w:t>
      </w:r>
    </w:p>
  </w:footnote>
  <w:footnote w:id="63">
    <w:p w14:paraId="5041AF01" w14:textId="77777777" w:rsidR="00471BEB" w:rsidRDefault="00471BEB" w:rsidP="00763992">
      <w:pPr>
        <w:pStyle w:val="FootnoteText"/>
        <w:spacing w:after="0" w:line="240" w:lineRule="auto"/>
      </w:pPr>
      <w:r>
        <w:rPr>
          <w:rStyle w:val="FootnoteReference"/>
        </w:rPr>
        <w:footnoteRef/>
      </w:r>
      <w:r>
        <w:t xml:space="preserve"> </w:t>
      </w:r>
      <w:r w:rsidRPr="00763992">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w:t>
      </w:r>
    </w:p>
  </w:footnote>
  <w:footnote w:id="64">
    <w:p w14:paraId="02E38AD0" w14:textId="77777777" w:rsidR="00471BEB" w:rsidRDefault="00471BEB" w:rsidP="00763992">
      <w:pPr>
        <w:pStyle w:val="FootnoteText"/>
        <w:spacing w:after="0" w:line="240" w:lineRule="auto"/>
      </w:pPr>
      <w:r>
        <w:rPr>
          <w:rStyle w:val="FootnoteReference"/>
        </w:rPr>
        <w:footnoteRef/>
      </w:r>
      <w:r>
        <w:t xml:space="preserve"> </w:t>
      </w:r>
      <w:r w:rsidRPr="00763992">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at 145.  </w:t>
      </w:r>
    </w:p>
  </w:footnote>
  <w:footnote w:id="65">
    <w:p w14:paraId="6E51120B" w14:textId="77777777" w:rsidR="00471BEB" w:rsidRDefault="00471BEB" w:rsidP="00763992">
      <w:pPr>
        <w:pStyle w:val="FootnoteText"/>
        <w:spacing w:after="0" w:line="240" w:lineRule="auto"/>
      </w:pPr>
      <w:r>
        <w:rPr>
          <w:rStyle w:val="FootnoteReference"/>
        </w:rPr>
        <w:footnoteRef/>
      </w:r>
      <w:r>
        <w:t xml:space="preserve"> </w:t>
      </w:r>
      <w:r w:rsidRPr="00763992">
        <w:rPr>
          <w:rFonts w:ascii="Times New Roman" w:hAnsi="Times New Roman"/>
          <w:sz w:val="24"/>
          <w:u w:val="single"/>
        </w:rPr>
        <w:t>Id</w:t>
      </w:r>
      <w:r>
        <w:rPr>
          <w:rFonts w:ascii="Times New Roman" w:hAnsi="Times New Roman"/>
          <w:i/>
          <w:sz w:val="24"/>
        </w:rPr>
        <w:t>.</w:t>
      </w:r>
    </w:p>
  </w:footnote>
  <w:footnote w:id="66">
    <w:p w14:paraId="372E30F3" w14:textId="77777777" w:rsidR="00471BEB" w:rsidRDefault="00471BEB" w:rsidP="00763992">
      <w:pPr>
        <w:pStyle w:val="FootnoteText"/>
        <w:spacing w:after="0" w:line="240" w:lineRule="auto"/>
      </w:pPr>
      <w:r>
        <w:rPr>
          <w:rStyle w:val="FootnoteReference"/>
        </w:rPr>
        <w:footnoteRef/>
      </w:r>
      <w:r>
        <w:t xml:space="preserve"> </w:t>
      </w:r>
      <w:r w:rsidRPr="00763992">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at 146.  </w:t>
      </w:r>
    </w:p>
  </w:footnote>
  <w:footnote w:id="67">
    <w:p w14:paraId="0218BBEA" w14:textId="77777777" w:rsidR="00471BEB" w:rsidRDefault="00471BEB" w:rsidP="00763992">
      <w:pPr>
        <w:pStyle w:val="FootnoteText"/>
        <w:spacing w:after="0" w:line="240" w:lineRule="auto"/>
      </w:pPr>
      <w:r>
        <w:rPr>
          <w:rStyle w:val="FootnoteReference"/>
        </w:rPr>
        <w:footnoteRef/>
      </w:r>
      <w:r>
        <w:t xml:space="preserve"> </w:t>
      </w:r>
      <w:r w:rsidRPr="00763992">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at 146.  </w:t>
      </w:r>
    </w:p>
  </w:footnote>
  <w:footnote w:id="68">
    <w:p w14:paraId="09EDA720" w14:textId="77777777" w:rsidR="00471BEB" w:rsidRDefault="00471BEB" w:rsidP="003E3F03">
      <w:pPr>
        <w:pStyle w:val="FootnoteText"/>
        <w:spacing w:after="0"/>
      </w:pPr>
      <w:r>
        <w:rPr>
          <w:rStyle w:val="FootnoteReference"/>
        </w:rPr>
        <w:footnoteRef/>
      </w:r>
      <w:r>
        <w:t xml:space="preserve"> </w:t>
      </w:r>
      <w:r w:rsidRPr="00763992">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w:t>
      </w:r>
    </w:p>
  </w:footnote>
  <w:footnote w:id="69">
    <w:p w14:paraId="7D31230E" w14:textId="77777777" w:rsidR="00471BEB" w:rsidRDefault="00471BEB" w:rsidP="0068271A">
      <w:pPr>
        <w:pStyle w:val="FootnoteText"/>
        <w:spacing w:after="0" w:line="240" w:lineRule="auto"/>
      </w:pPr>
      <w:r>
        <w:rPr>
          <w:rStyle w:val="FootnoteReference"/>
        </w:rPr>
        <w:footnoteRef/>
      </w:r>
      <w:r>
        <w:t xml:space="preserve"> </w:t>
      </w:r>
      <w:r w:rsidRPr="00763992">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w:t>
      </w:r>
    </w:p>
  </w:footnote>
  <w:footnote w:id="70">
    <w:p w14:paraId="611ADC44" w14:textId="77777777" w:rsidR="00471BEB" w:rsidRDefault="00471BEB" w:rsidP="0068271A">
      <w:pPr>
        <w:pStyle w:val="FootnoteText"/>
        <w:spacing w:after="0" w:line="240" w:lineRule="auto"/>
      </w:pPr>
      <w:r>
        <w:rPr>
          <w:rStyle w:val="FootnoteReference"/>
        </w:rPr>
        <w:footnoteRef/>
      </w:r>
      <w:r>
        <w:t xml:space="preserve"> </w:t>
      </w:r>
      <w:r w:rsidRPr="0068271A">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at 146-47.  </w:t>
      </w:r>
    </w:p>
  </w:footnote>
  <w:footnote w:id="71">
    <w:p w14:paraId="5E8107ED" w14:textId="77777777" w:rsidR="00471BEB" w:rsidRDefault="00471BEB" w:rsidP="0068271A">
      <w:pPr>
        <w:pStyle w:val="FootnoteText"/>
        <w:spacing w:after="0" w:line="240" w:lineRule="auto"/>
      </w:pPr>
      <w:r>
        <w:rPr>
          <w:rStyle w:val="FootnoteReference"/>
        </w:rPr>
        <w:footnoteRef/>
      </w:r>
      <w:r>
        <w:t xml:space="preserve"> </w:t>
      </w:r>
      <w:r w:rsidRPr="0068271A">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at 147.  </w:t>
      </w:r>
      <w:r w:rsidRPr="0068271A">
        <w:rPr>
          <w:rFonts w:ascii="Times New Roman" w:hAnsi="Times New Roman"/>
          <w:sz w:val="24"/>
          <w:u w:val="single"/>
        </w:rPr>
        <w:t>See</w:t>
      </w:r>
      <w:r w:rsidRPr="000975F8">
        <w:rPr>
          <w:rFonts w:ascii="Times New Roman" w:hAnsi="Times New Roman"/>
          <w:i/>
          <w:sz w:val="24"/>
        </w:rPr>
        <w:t xml:space="preserve"> </w:t>
      </w:r>
      <w:r w:rsidRPr="0068271A">
        <w:rPr>
          <w:rFonts w:ascii="Times New Roman" w:hAnsi="Times New Roman"/>
          <w:sz w:val="24"/>
          <w:u w:val="single"/>
        </w:rPr>
        <w:t>also</w:t>
      </w:r>
      <w:r w:rsidRPr="000975F8">
        <w:rPr>
          <w:rFonts w:ascii="Times New Roman" w:hAnsi="Times New Roman"/>
          <w:i/>
          <w:sz w:val="24"/>
        </w:rPr>
        <w:t xml:space="preserve"> </w:t>
      </w:r>
      <w:r w:rsidRPr="0068271A">
        <w:rPr>
          <w:rFonts w:ascii="Times New Roman" w:hAnsi="Times New Roman"/>
          <w:sz w:val="24"/>
          <w:u w:val="single"/>
        </w:rPr>
        <w:t>Goodson v. Ford</w:t>
      </w:r>
      <w:r w:rsidRPr="000975F8">
        <w:rPr>
          <w:rFonts w:ascii="Times New Roman" w:hAnsi="Times New Roman"/>
          <w:sz w:val="24"/>
        </w:rPr>
        <w:t>, 290 Ga. 662, 664 (2012) (defendants did not acquire title to a street, a rectangular strip of land running between properties and connecting to highway, by adverse possession, where their use of the street for anything other than access to the highway was occasional and permissive at most, with no adverse claim and actual notice to the property owners or their predecessors).</w:t>
      </w:r>
    </w:p>
  </w:footnote>
  <w:footnote w:id="72">
    <w:p w14:paraId="1719E62B" w14:textId="77777777" w:rsidR="00471BEB" w:rsidRDefault="00471BEB" w:rsidP="0068271A">
      <w:pPr>
        <w:pStyle w:val="FootnoteText"/>
        <w:spacing w:after="0" w:line="240" w:lineRule="auto"/>
      </w:pPr>
      <w:r>
        <w:rPr>
          <w:rStyle w:val="FootnoteReference"/>
        </w:rPr>
        <w:footnoteRef/>
      </w:r>
      <w:r>
        <w:t xml:space="preserve"> </w:t>
      </w:r>
      <w:r w:rsidRPr="0068271A">
        <w:rPr>
          <w:rFonts w:ascii="Times New Roman" w:hAnsi="Times New Roman"/>
          <w:sz w:val="24"/>
          <w:u w:val="single"/>
        </w:rPr>
        <w:t>Ward v. Morgan</w:t>
      </w:r>
      <w:r w:rsidRPr="000975F8">
        <w:rPr>
          <w:rFonts w:ascii="Times New Roman" w:hAnsi="Times New Roman"/>
          <w:sz w:val="24"/>
        </w:rPr>
        <w:t xml:space="preserve">, 280 Ga. 569, 571 (2006) (quoting </w:t>
      </w:r>
      <w:r w:rsidRPr="0068271A">
        <w:rPr>
          <w:rFonts w:ascii="Times New Roman" w:hAnsi="Times New Roman"/>
          <w:sz w:val="24"/>
          <w:u w:val="single"/>
        </w:rPr>
        <w:t>Wright v. Wright</w:t>
      </w:r>
      <w:r w:rsidRPr="000975F8">
        <w:rPr>
          <w:rFonts w:ascii="Times New Roman" w:hAnsi="Times New Roman"/>
          <w:sz w:val="24"/>
        </w:rPr>
        <w:t xml:space="preserve">, 270 Ga. 530, 532 (1999)).  </w:t>
      </w:r>
    </w:p>
  </w:footnote>
  <w:footnote w:id="73">
    <w:p w14:paraId="579FB5A5" w14:textId="77777777" w:rsidR="00471BEB" w:rsidRDefault="00471BEB" w:rsidP="0068271A">
      <w:pPr>
        <w:pStyle w:val="FootnoteText"/>
        <w:spacing w:after="0" w:line="240" w:lineRule="auto"/>
      </w:pPr>
      <w:r>
        <w:rPr>
          <w:rStyle w:val="FootnoteReference"/>
        </w:rPr>
        <w:footnoteRef/>
      </w:r>
      <w:r>
        <w:t xml:space="preserve"> </w:t>
      </w:r>
      <w:r w:rsidRPr="0068271A">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w:t>
      </w:r>
    </w:p>
  </w:footnote>
  <w:footnote w:id="74">
    <w:p w14:paraId="2508535C" w14:textId="77777777" w:rsidR="00471BEB" w:rsidRDefault="00471BEB" w:rsidP="00C35617">
      <w:pPr>
        <w:pStyle w:val="FootnoteText"/>
        <w:spacing w:after="0" w:line="240" w:lineRule="auto"/>
      </w:pPr>
      <w:r>
        <w:rPr>
          <w:rStyle w:val="FootnoteReference"/>
        </w:rPr>
        <w:footnoteRef/>
      </w:r>
      <w:r>
        <w:t xml:space="preserve"> </w:t>
      </w:r>
      <w:r w:rsidRPr="004B4515">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w:t>
      </w:r>
    </w:p>
  </w:footnote>
  <w:footnote w:id="75">
    <w:p w14:paraId="4B72B0C9" w14:textId="77777777" w:rsidR="00471BEB" w:rsidRDefault="00471BEB" w:rsidP="00C35617">
      <w:pPr>
        <w:pStyle w:val="FootnoteText"/>
        <w:spacing w:after="0" w:line="240" w:lineRule="auto"/>
      </w:pPr>
      <w:r>
        <w:rPr>
          <w:rStyle w:val="FootnoteReference"/>
        </w:rPr>
        <w:footnoteRef/>
      </w:r>
      <w:r>
        <w:t xml:space="preserve"> </w:t>
      </w:r>
      <w:r w:rsidRPr="004B4515">
        <w:rPr>
          <w:rFonts w:ascii="Times New Roman" w:hAnsi="Times New Roman"/>
          <w:sz w:val="24"/>
          <w:u w:val="single"/>
        </w:rPr>
        <w:t>Id</w:t>
      </w:r>
      <w:r w:rsidRPr="000975F8">
        <w:rPr>
          <w:rFonts w:ascii="Times New Roman" w:hAnsi="Times New Roman"/>
          <w:i/>
          <w:sz w:val="24"/>
        </w:rPr>
        <w:t>.</w:t>
      </w:r>
      <w:r w:rsidRPr="000975F8">
        <w:rPr>
          <w:rFonts w:ascii="Times New Roman" w:hAnsi="Times New Roman"/>
          <w:sz w:val="24"/>
        </w:rPr>
        <w:t xml:space="preserve"> at 572 (quoting </w:t>
      </w:r>
      <w:r w:rsidRPr="004B4515">
        <w:rPr>
          <w:rFonts w:ascii="Times New Roman" w:hAnsi="Times New Roman"/>
          <w:sz w:val="24"/>
          <w:u w:val="single"/>
        </w:rPr>
        <w:t>Hardin v. Council</w:t>
      </w:r>
      <w:r w:rsidRPr="000975F8">
        <w:rPr>
          <w:rFonts w:ascii="Times New Roman" w:hAnsi="Times New Roman"/>
          <w:sz w:val="24"/>
        </w:rPr>
        <w:t xml:space="preserve">, 200 Ga. 822, 831-32 (1946)) (emphasis in original).  </w:t>
      </w:r>
      <w:r w:rsidRPr="004B4515">
        <w:rPr>
          <w:rFonts w:ascii="Times New Roman" w:hAnsi="Times New Roman"/>
          <w:sz w:val="24"/>
          <w:u w:val="single"/>
        </w:rPr>
        <w:t>But</w:t>
      </w:r>
      <w:r w:rsidRPr="000975F8">
        <w:rPr>
          <w:rFonts w:ascii="Times New Roman" w:hAnsi="Times New Roman"/>
          <w:i/>
          <w:sz w:val="24"/>
        </w:rPr>
        <w:t xml:space="preserve"> </w:t>
      </w:r>
      <w:r w:rsidRPr="004B4515">
        <w:rPr>
          <w:rFonts w:ascii="Times New Roman" w:hAnsi="Times New Roman"/>
          <w:sz w:val="24"/>
          <w:u w:val="single"/>
        </w:rPr>
        <w:t>see</w:t>
      </w:r>
      <w:r w:rsidRPr="000975F8">
        <w:rPr>
          <w:rFonts w:ascii="Times New Roman" w:hAnsi="Times New Roman"/>
          <w:i/>
          <w:sz w:val="24"/>
        </w:rPr>
        <w:t xml:space="preserve"> </w:t>
      </w:r>
      <w:r w:rsidRPr="004B4515">
        <w:rPr>
          <w:rFonts w:ascii="Times New Roman" w:hAnsi="Times New Roman"/>
          <w:sz w:val="24"/>
          <w:u w:val="single"/>
        </w:rPr>
        <w:t>Gigger v. White</w:t>
      </w:r>
      <w:r w:rsidRPr="000975F8">
        <w:rPr>
          <w:rFonts w:ascii="Times New Roman" w:hAnsi="Times New Roman"/>
          <w:sz w:val="24"/>
        </w:rPr>
        <w:t>, 277 Ga. 68, 71 (2003) (“But when a person claiming prescriptive title does not enter possession as a cotenant but as owner of the entire estate under color of title, such possession is adverse to those who might be otherwise treated as cotenants, and the party in possession is not subject to the conditions of O.C.G.A. § 44-6-123.”) (citation and internal punctuation omitted).</w:t>
      </w:r>
    </w:p>
  </w:footnote>
  <w:footnote w:id="76">
    <w:p w14:paraId="09F4E9FC" w14:textId="77777777" w:rsidR="00471BEB" w:rsidRDefault="00471BEB" w:rsidP="00C35617">
      <w:pPr>
        <w:pStyle w:val="FootnoteText"/>
        <w:spacing w:after="0" w:line="240" w:lineRule="auto"/>
      </w:pPr>
      <w:r>
        <w:rPr>
          <w:rStyle w:val="FootnoteReference"/>
        </w:rPr>
        <w:footnoteRef/>
      </w:r>
      <w:r>
        <w:t xml:space="preserve"> </w:t>
      </w:r>
      <w:r w:rsidRPr="00C35617">
        <w:rPr>
          <w:rFonts w:ascii="Times New Roman" w:hAnsi="Times New Roman"/>
          <w:sz w:val="24"/>
          <w:u w:val="single"/>
        </w:rPr>
        <w:t>See</w:t>
      </w:r>
      <w:r w:rsidRPr="008A369A">
        <w:rPr>
          <w:rFonts w:ascii="Times New Roman" w:hAnsi="Times New Roman"/>
          <w:i/>
          <w:sz w:val="24"/>
        </w:rPr>
        <w:t xml:space="preserve"> </w:t>
      </w:r>
      <w:r w:rsidRPr="00C35617">
        <w:rPr>
          <w:rFonts w:ascii="Times New Roman" w:hAnsi="Times New Roman"/>
          <w:sz w:val="24"/>
          <w:u w:val="single"/>
        </w:rPr>
        <w:t>Norton v. Holcomb</w:t>
      </w:r>
      <w:r w:rsidRPr="008A369A">
        <w:rPr>
          <w:rFonts w:ascii="Times New Roman" w:hAnsi="Times New Roman"/>
          <w:sz w:val="24"/>
        </w:rPr>
        <w:t>, 285 Ga. App. 78, 81 (2007) (“Possession by different predecessors in interest may be added together when the previous possession also satisfies the other elements of adverse possession.”).</w:t>
      </w:r>
    </w:p>
  </w:footnote>
  <w:footnote w:id="77">
    <w:p w14:paraId="13C12FA8" w14:textId="77777777" w:rsidR="00471BEB" w:rsidRDefault="00471BEB" w:rsidP="00C35617">
      <w:pPr>
        <w:pStyle w:val="FootnoteText"/>
        <w:spacing w:after="0" w:line="240" w:lineRule="auto"/>
      </w:pPr>
      <w:r>
        <w:rPr>
          <w:rStyle w:val="FootnoteReference"/>
        </w:rPr>
        <w:footnoteRef/>
      </w:r>
      <w:r>
        <w:t xml:space="preserve"> </w:t>
      </w:r>
      <w:r w:rsidRPr="00C35617">
        <w:rPr>
          <w:rFonts w:ascii="Times New Roman" w:hAnsi="Times New Roman"/>
          <w:sz w:val="24"/>
          <w:u w:val="single"/>
        </w:rPr>
        <w:t>Id</w:t>
      </w:r>
      <w:r w:rsidRPr="008A369A">
        <w:rPr>
          <w:rFonts w:ascii="Times New Roman" w:hAnsi="Times New Roman"/>
          <w:i/>
          <w:sz w:val="24"/>
        </w:rPr>
        <w:t>.</w:t>
      </w:r>
      <w:r w:rsidRPr="008A369A">
        <w:rPr>
          <w:rFonts w:ascii="Times New Roman" w:hAnsi="Times New Roman"/>
          <w:sz w:val="24"/>
        </w:rPr>
        <w:t xml:space="preserve"> at 281.  </w:t>
      </w:r>
    </w:p>
  </w:footnote>
  <w:footnote w:id="78">
    <w:p w14:paraId="754E01F7" w14:textId="77777777" w:rsidR="00471BEB" w:rsidRDefault="00471BEB" w:rsidP="00C35617">
      <w:pPr>
        <w:pStyle w:val="FootnoteText"/>
        <w:spacing w:after="0" w:line="240" w:lineRule="auto"/>
      </w:pPr>
      <w:r>
        <w:rPr>
          <w:rStyle w:val="FootnoteReference"/>
        </w:rPr>
        <w:footnoteRef/>
      </w:r>
      <w:r>
        <w:t xml:space="preserve"> </w:t>
      </w:r>
      <w:r w:rsidRPr="00C35617">
        <w:rPr>
          <w:rFonts w:ascii="Times New Roman" w:hAnsi="Times New Roman"/>
          <w:sz w:val="24"/>
          <w:u w:val="single"/>
        </w:rPr>
        <w:t>Id</w:t>
      </w:r>
      <w:r w:rsidRPr="008A369A">
        <w:rPr>
          <w:rFonts w:ascii="Times New Roman" w:hAnsi="Times New Roman"/>
          <w:i/>
          <w:sz w:val="24"/>
        </w:rPr>
        <w:t>.</w:t>
      </w:r>
      <w:r w:rsidRPr="008A369A">
        <w:rPr>
          <w:rFonts w:ascii="Times New Roman" w:hAnsi="Times New Roman"/>
          <w:sz w:val="24"/>
        </w:rPr>
        <w:t xml:space="preserve">  </w:t>
      </w:r>
    </w:p>
  </w:footnote>
  <w:footnote w:id="79">
    <w:p w14:paraId="4CAE5AF0" w14:textId="77777777" w:rsidR="00471BEB" w:rsidRDefault="00471BEB" w:rsidP="00C35617">
      <w:pPr>
        <w:pStyle w:val="FootnoteText"/>
        <w:spacing w:after="0" w:line="240" w:lineRule="auto"/>
      </w:pPr>
      <w:r>
        <w:rPr>
          <w:rStyle w:val="FootnoteReference"/>
        </w:rPr>
        <w:footnoteRef/>
      </w:r>
      <w:r>
        <w:t xml:space="preserve"> </w:t>
      </w:r>
      <w:r w:rsidRPr="00C35617">
        <w:rPr>
          <w:rFonts w:ascii="Times New Roman" w:hAnsi="Times New Roman"/>
          <w:sz w:val="24"/>
          <w:u w:val="single"/>
        </w:rPr>
        <w:t>Id</w:t>
      </w:r>
      <w:r w:rsidRPr="008A369A">
        <w:rPr>
          <w:rFonts w:ascii="Times New Roman" w:hAnsi="Times New Roman"/>
          <w:i/>
          <w:sz w:val="24"/>
        </w:rPr>
        <w:t>.</w:t>
      </w:r>
      <w:r w:rsidRPr="008A369A">
        <w:rPr>
          <w:rFonts w:ascii="Times New Roman" w:hAnsi="Times New Roman"/>
          <w:sz w:val="24"/>
        </w:rPr>
        <w:t xml:space="preserve">  </w:t>
      </w:r>
    </w:p>
  </w:footnote>
  <w:footnote w:id="80">
    <w:p w14:paraId="57E38CEA" w14:textId="77777777" w:rsidR="00471BEB" w:rsidRDefault="00471BEB" w:rsidP="00C35617">
      <w:pPr>
        <w:pStyle w:val="FootnoteText"/>
        <w:spacing w:after="0" w:line="240" w:lineRule="auto"/>
      </w:pPr>
      <w:r>
        <w:rPr>
          <w:rStyle w:val="FootnoteReference"/>
        </w:rPr>
        <w:footnoteRef/>
      </w:r>
      <w:r>
        <w:t xml:space="preserve"> </w:t>
      </w:r>
      <w:r w:rsidRPr="00C35617">
        <w:rPr>
          <w:rFonts w:ascii="Times New Roman" w:hAnsi="Times New Roman"/>
          <w:sz w:val="24"/>
          <w:u w:val="single"/>
        </w:rPr>
        <w:t>Id</w:t>
      </w:r>
      <w:r w:rsidRPr="008A369A">
        <w:rPr>
          <w:rFonts w:ascii="Times New Roman" w:hAnsi="Times New Roman"/>
          <w:i/>
          <w:sz w:val="24"/>
        </w:rPr>
        <w:t>.</w:t>
      </w:r>
      <w:r w:rsidRPr="008A369A">
        <w:rPr>
          <w:rFonts w:ascii="Times New Roman" w:hAnsi="Times New Roman"/>
          <w:sz w:val="24"/>
        </w:rPr>
        <w:t xml:space="preserve">  </w:t>
      </w:r>
    </w:p>
  </w:footnote>
  <w:footnote w:id="81">
    <w:p w14:paraId="4FA1E425" w14:textId="77777777" w:rsidR="00471BEB" w:rsidRDefault="00471BEB" w:rsidP="00C35617">
      <w:pPr>
        <w:pStyle w:val="FootnoteText"/>
        <w:spacing w:after="0" w:line="240" w:lineRule="auto"/>
      </w:pPr>
      <w:r>
        <w:rPr>
          <w:rStyle w:val="FootnoteReference"/>
        </w:rPr>
        <w:footnoteRef/>
      </w:r>
      <w:r>
        <w:t xml:space="preserve"> </w:t>
      </w:r>
      <w:r w:rsidRPr="00C35617">
        <w:rPr>
          <w:rFonts w:ascii="Times New Roman" w:hAnsi="Times New Roman"/>
          <w:sz w:val="24"/>
          <w:u w:val="single"/>
        </w:rPr>
        <w:t>Id</w:t>
      </w:r>
      <w:r w:rsidRPr="008A369A">
        <w:rPr>
          <w:rFonts w:ascii="Times New Roman" w:hAnsi="Times New Roman"/>
          <w:i/>
          <w:sz w:val="24"/>
        </w:rPr>
        <w:t>.</w:t>
      </w:r>
      <w:r w:rsidRPr="008A369A">
        <w:rPr>
          <w:rFonts w:ascii="Times New Roman" w:hAnsi="Times New Roman"/>
          <w:sz w:val="24"/>
        </w:rPr>
        <w:t xml:space="preserve">  </w:t>
      </w:r>
    </w:p>
  </w:footnote>
  <w:footnote w:id="82">
    <w:p w14:paraId="10BA31F1" w14:textId="77777777" w:rsidR="00471BEB" w:rsidRDefault="00471BEB" w:rsidP="00C35617">
      <w:pPr>
        <w:pStyle w:val="FootnoteText"/>
        <w:spacing w:after="0" w:line="240" w:lineRule="auto"/>
      </w:pPr>
      <w:r>
        <w:rPr>
          <w:rStyle w:val="FootnoteReference"/>
        </w:rPr>
        <w:footnoteRef/>
      </w:r>
      <w:r>
        <w:t xml:space="preserve"> </w:t>
      </w:r>
      <w:r w:rsidRPr="00C35617">
        <w:rPr>
          <w:rFonts w:ascii="Times New Roman" w:hAnsi="Times New Roman"/>
          <w:sz w:val="24"/>
          <w:u w:val="single"/>
        </w:rPr>
        <w:t>Id</w:t>
      </w:r>
      <w:r w:rsidRPr="008A369A">
        <w:rPr>
          <w:rFonts w:ascii="Times New Roman" w:hAnsi="Times New Roman"/>
          <w:i/>
          <w:sz w:val="24"/>
        </w:rPr>
        <w:t>.</w:t>
      </w:r>
      <w:r w:rsidRPr="008A369A">
        <w:rPr>
          <w:rFonts w:ascii="Times New Roman" w:hAnsi="Times New Roman"/>
          <w:sz w:val="24"/>
        </w:rPr>
        <w:t xml:space="preserve"> at 280.</w:t>
      </w:r>
    </w:p>
  </w:footnote>
  <w:footnote w:id="83">
    <w:p w14:paraId="521A9D80" w14:textId="77777777" w:rsidR="00471BEB" w:rsidRDefault="00471BEB" w:rsidP="00C35617">
      <w:pPr>
        <w:pStyle w:val="FootnoteText"/>
        <w:spacing w:after="0" w:line="240" w:lineRule="auto"/>
      </w:pPr>
      <w:r>
        <w:rPr>
          <w:rStyle w:val="FootnoteReference"/>
        </w:rPr>
        <w:footnoteRef/>
      </w:r>
      <w:r>
        <w:t xml:space="preserve"> </w:t>
      </w:r>
      <w:r w:rsidRPr="00C35617">
        <w:rPr>
          <w:rFonts w:ascii="Times New Roman" w:hAnsi="Times New Roman"/>
          <w:sz w:val="24"/>
          <w:u w:val="single"/>
        </w:rPr>
        <w:t>Id</w:t>
      </w:r>
      <w:r w:rsidRPr="008A369A">
        <w:rPr>
          <w:rFonts w:ascii="Times New Roman" w:hAnsi="Times New Roman"/>
          <w:i/>
          <w:sz w:val="24"/>
        </w:rPr>
        <w:t>.</w:t>
      </w:r>
      <w:r w:rsidRPr="008A369A">
        <w:rPr>
          <w:rFonts w:ascii="Times New Roman" w:hAnsi="Times New Roman"/>
          <w:sz w:val="24"/>
        </w:rPr>
        <w:t xml:space="preserve"> at 281-82.  </w:t>
      </w:r>
    </w:p>
  </w:footnote>
  <w:footnote w:id="84">
    <w:p w14:paraId="6219251E" w14:textId="77777777" w:rsidR="00471BEB" w:rsidRDefault="00471BEB" w:rsidP="00C35617">
      <w:pPr>
        <w:pStyle w:val="FootnoteText"/>
        <w:spacing w:after="0" w:line="240" w:lineRule="auto"/>
      </w:pPr>
      <w:r>
        <w:rPr>
          <w:rStyle w:val="FootnoteReference"/>
        </w:rPr>
        <w:footnoteRef/>
      </w:r>
      <w:r>
        <w:t xml:space="preserve"> </w:t>
      </w:r>
      <w:r w:rsidRPr="00C35617">
        <w:rPr>
          <w:rFonts w:ascii="Times New Roman" w:hAnsi="Times New Roman"/>
          <w:sz w:val="24"/>
          <w:u w:val="single"/>
        </w:rPr>
        <w:t>Id</w:t>
      </w:r>
      <w:r w:rsidRPr="008A369A">
        <w:rPr>
          <w:rFonts w:ascii="Times New Roman" w:hAnsi="Times New Roman"/>
          <w:i/>
          <w:sz w:val="24"/>
        </w:rPr>
        <w:t>.</w:t>
      </w:r>
      <w:r w:rsidRPr="008A369A">
        <w:rPr>
          <w:rFonts w:ascii="Times New Roman" w:hAnsi="Times New Roman"/>
          <w:sz w:val="24"/>
        </w:rPr>
        <w:t xml:space="preserve"> at 282.  </w:t>
      </w:r>
    </w:p>
  </w:footnote>
  <w:footnote w:id="85">
    <w:p w14:paraId="79B1E622" w14:textId="77777777" w:rsidR="00471BEB" w:rsidRDefault="00471BEB" w:rsidP="00C35617">
      <w:pPr>
        <w:pStyle w:val="FootnoteText"/>
        <w:spacing w:after="0" w:line="240" w:lineRule="auto"/>
      </w:pPr>
      <w:r>
        <w:rPr>
          <w:rStyle w:val="FootnoteReference"/>
        </w:rPr>
        <w:footnoteRef/>
      </w:r>
      <w:r>
        <w:t xml:space="preserve"> </w:t>
      </w:r>
      <w:r w:rsidRPr="00C35617">
        <w:rPr>
          <w:rFonts w:ascii="Times New Roman" w:hAnsi="Times New Roman"/>
          <w:sz w:val="24"/>
          <w:u w:val="single"/>
        </w:rPr>
        <w:t>Id</w:t>
      </w:r>
      <w:r w:rsidRPr="008A369A">
        <w:rPr>
          <w:rFonts w:ascii="Times New Roman" w:hAnsi="Times New Roman"/>
          <w:i/>
          <w:sz w:val="24"/>
        </w:rPr>
        <w:t>.</w:t>
      </w:r>
      <w:r w:rsidRPr="008A369A">
        <w:rPr>
          <w:rFonts w:ascii="Times New Roman" w:hAnsi="Times New Roman"/>
          <w:sz w:val="24"/>
        </w:rPr>
        <w:t xml:space="preserve"> (citing </w:t>
      </w:r>
      <w:r w:rsidRPr="00C35617">
        <w:rPr>
          <w:rFonts w:ascii="Times New Roman" w:hAnsi="Times New Roman"/>
          <w:sz w:val="24"/>
          <w:u w:val="single"/>
        </w:rPr>
        <w:t>Halpern v. The Lacy Inv. Corp</w:t>
      </w:r>
      <w:r w:rsidRPr="008A369A">
        <w:rPr>
          <w:rFonts w:ascii="Times New Roman" w:hAnsi="Times New Roman"/>
          <w:i/>
          <w:sz w:val="24"/>
        </w:rPr>
        <w:t>.</w:t>
      </w:r>
      <w:r w:rsidRPr="008A369A">
        <w:rPr>
          <w:rFonts w:ascii="Times New Roman" w:hAnsi="Times New Roman"/>
          <w:sz w:val="24"/>
        </w:rPr>
        <w:t>, 259 Ga. 264 (1989)).</w:t>
      </w:r>
    </w:p>
  </w:footnote>
  <w:footnote w:id="86">
    <w:p w14:paraId="38D69851" w14:textId="77777777" w:rsidR="00471BEB" w:rsidRDefault="00471BEB" w:rsidP="00C35617">
      <w:pPr>
        <w:pStyle w:val="FootnoteText"/>
        <w:spacing w:after="0" w:line="240" w:lineRule="auto"/>
      </w:pPr>
      <w:r>
        <w:rPr>
          <w:rStyle w:val="FootnoteReference"/>
        </w:rPr>
        <w:footnoteRef/>
      </w:r>
      <w:r>
        <w:t xml:space="preserve"> </w:t>
      </w:r>
      <w:r w:rsidRPr="00C35617">
        <w:rPr>
          <w:rFonts w:ascii="Times New Roman" w:hAnsi="Times New Roman"/>
          <w:sz w:val="24"/>
          <w:u w:val="single"/>
        </w:rPr>
        <w:t>Id</w:t>
      </w:r>
      <w:r w:rsidRPr="008A369A">
        <w:rPr>
          <w:rFonts w:ascii="Times New Roman" w:hAnsi="Times New Roman"/>
          <w:i/>
          <w:sz w:val="24"/>
        </w:rPr>
        <w:t>.</w:t>
      </w:r>
      <w:r w:rsidRPr="008A369A">
        <w:rPr>
          <w:rFonts w:ascii="Times New Roman" w:hAnsi="Times New Roman"/>
          <w:sz w:val="24"/>
        </w:rPr>
        <w:t xml:space="preserve"> at 435.</w:t>
      </w:r>
    </w:p>
  </w:footnote>
  <w:footnote w:id="87">
    <w:p w14:paraId="1B9E3FE8" w14:textId="77777777" w:rsidR="00471BEB" w:rsidRDefault="00471BEB" w:rsidP="00C35617">
      <w:pPr>
        <w:pStyle w:val="FootnoteText"/>
        <w:spacing w:after="0" w:line="240" w:lineRule="auto"/>
      </w:pPr>
      <w:r>
        <w:rPr>
          <w:rStyle w:val="FootnoteReference"/>
        </w:rPr>
        <w:footnoteRef/>
      </w:r>
      <w:r>
        <w:t xml:space="preserve"> </w:t>
      </w:r>
      <w:r w:rsidRPr="00C35617">
        <w:rPr>
          <w:rFonts w:ascii="Times New Roman" w:hAnsi="Times New Roman"/>
          <w:sz w:val="24"/>
          <w:u w:val="single"/>
        </w:rPr>
        <w:t>Id</w:t>
      </w:r>
      <w:r w:rsidRPr="008A369A">
        <w:rPr>
          <w:rFonts w:ascii="Times New Roman" w:hAnsi="Times New Roman"/>
          <w:i/>
          <w:sz w:val="24"/>
        </w:rPr>
        <w:t>.</w:t>
      </w:r>
      <w:r w:rsidRPr="008A369A">
        <w:rPr>
          <w:rFonts w:ascii="Times New Roman" w:hAnsi="Times New Roman"/>
          <w:sz w:val="24"/>
        </w:rPr>
        <w:t xml:space="preserve"> at 436.  </w:t>
      </w:r>
    </w:p>
  </w:footnote>
  <w:footnote w:id="88">
    <w:p w14:paraId="21067103" w14:textId="77777777" w:rsidR="00471BEB" w:rsidRDefault="00471BEB" w:rsidP="00C35617">
      <w:pPr>
        <w:pStyle w:val="FootnoteText"/>
        <w:spacing w:after="0" w:line="240" w:lineRule="auto"/>
      </w:pPr>
      <w:r>
        <w:rPr>
          <w:rStyle w:val="FootnoteReference"/>
        </w:rPr>
        <w:footnoteRef/>
      </w:r>
      <w:r>
        <w:t xml:space="preserve"> </w:t>
      </w:r>
      <w:r w:rsidRPr="00C35617">
        <w:rPr>
          <w:rFonts w:ascii="Times New Roman" w:hAnsi="Times New Roman"/>
          <w:sz w:val="24"/>
          <w:u w:val="single"/>
        </w:rPr>
        <w:t>Id</w:t>
      </w:r>
      <w:r w:rsidRPr="008A369A">
        <w:rPr>
          <w:rFonts w:ascii="Times New Roman" w:hAnsi="Times New Roman"/>
          <w:i/>
          <w:sz w:val="24"/>
        </w:rPr>
        <w:t>.</w:t>
      </w:r>
      <w:r w:rsidRPr="008A369A">
        <w:rPr>
          <w:rFonts w:ascii="Times New Roman" w:hAnsi="Times New Roman"/>
          <w:sz w:val="24"/>
        </w:rPr>
        <w:t xml:space="preserve">  </w:t>
      </w:r>
    </w:p>
  </w:footnote>
  <w:footnote w:id="89">
    <w:p w14:paraId="0F2A4FBE" w14:textId="77777777" w:rsidR="00471BEB" w:rsidRDefault="00471BEB" w:rsidP="00C35617">
      <w:pPr>
        <w:pStyle w:val="FootnoteText"/>
        <w:spacing w:after="0" w:line="240" w:lineRule="auto"/>
      </w:pPr>
      <w:r>
        <w:rPr>
          <w:rStyle w:val="FootnoteReference"/>
        </w:rPr>
        <w:footnoteRef/>
      </w:r>
      <w:r>
        <w:t xml:space="preserve"> </w:t>
      </w:r>
      <w:r w:rsidRPr="00C35617">
        <w:rPr>
          <w:rFonts w:ascii="Times New Roman" w:hAnsi="Times New Roman"/>
          <w:sz w:val="24"/>
          <w:u w:val="single"/>
        </w:rPr>
        <w:t>Id</w:t>
      </w:r>
      <w:r w:rsidRPr="008A369A">
        <w:rPr>
          <w:rFonts w:ascii="Times New Roman" w:hAnsi="Times New Roman"/>
          <w:i/>
          <w:sz w:val="24"/>
        </w:rPr>
        <w:t>.</w:t>
      </w:r>
      <w:r w:rsidRPr="008A369A">
        <w:rPr>
          <w:rFonts w:ascii="Times New Roman" w:hAnsi="Times New Roman"/>
          <w:sz w:val="24"/>
        </w:rPr>
        <w:t xml:space="preserve">  </w:t>
      </w:r>
    </w:p>
  </w:footnote>
  <w:footnote w:id="90">
    <w:p w14:paraId="6541E2B8" w14:textId="77777777" w:rsidR="00471BEB" w:rsidRDefault="00471BEB" w:rsidP="00C35617">
      <w:pPr>
        <w:pStyle w:val="FootnoteText"/>
        <w:spacing w:after="0" w:line="240" w:lineRule="auto"/>
      </w:pPr>
      <w:r>
        <w:rPr>
          <w:rStyle w:val="FootnoteReference"/>
        </w:rPr>
        <w:footnoteRef/>
      </w:r>
      <w:r>
        <w:t xml:space="preserve"> </w:t>
      </w:r>
      <w:r w:rsidRPr="00C35617">
        <w:rPr>
          <w:rFonts w:ascii="Times New Roman" w:hAnsi="Times New Roman"/>
          <w:sz w:val="24"/>
          <w:u w:val="single"/>
        </w:rPr>
        <w:t>Id</w:t>
      </w:r>
      <w:r w:rsidRPr="008A369A">
        <w:rPr>
          <w:rFonts w:ascii="Times New Roman" w:hAnsi="Times New Roman"/>
          <w:i/>
          <w:sz w:val="24"/>
        </w:rPr>
        <w:t>.</w:t>
      </w:r>
      <w:r w:rsidRPr="008A369A">
        <w:rPr>
          <w:rFonts w:ascii="Times New Roman" w:hAnsi="Times New Roman"/>
          <w:sz w:val="24"/>
        </w:rPr>
        <w:t xml:space="preserve">  </w:t>
      </w:r>
    </w:p>
  </w:footnote>
  <w:footnote w:id="91">
    <w:p w14:paraId="2BA39D9D" w14:textId="77777777" w:rsidR="00471BEB" w:rsidRDefault="00471BEB" w:rsidP="00C35617">
      <w:pPr>
        <w:pStyle w:val="FootnoteText"/>
        <w:spacing w:after="0" w:line="240" w:lineRule="auto"/>
      </w:pPr>
      <w:r>
        <w:rPr>
          <w:rStyle w:val="FootnoteReference"/>
        </w:rPr>
        <w:footnoteRef/>
      </w:r>
      <w:r>
        <w:t xml:space="preserve"> </w:t>
      </w:r>
      <w:r w:rsidRPr="00C35617">
        <w:rPr>
          <w:rFonts w:ascii="Times New Roman" w:hAnsi="Times New Roman"/>
          <w:sz w:val="24"/>
          <w:u w:val="single"/>
        </w:rPr>
        <w:t>Id</w:t>
      </w:r>
      <w:r w:rsidRPr="008A369A">
        <w:rPr>
          <w:rFonts w:ascii="Times New Roman" w:hAnsi="Times New Roman"/>
          <w:i/>
          <w:sz w:val="24"/>
        </w:rPr>
        <w:t>.</w:t>
      </w:r>
      <w:r w:rsidRPr="008A369A">
        <w:rPr>
          <w:rFonts w:ascii="Times New Roman" w:hAnsi="Times New Roman"/>
          <w:sz w:val="24"/>
        </w:rPr>
        <w:t xml:space="preserve">  </w:t>
      </w:r>
    </w:p>
  </w:footnote>
  <w:footnote w:id="92">
    <w:p w14:paraId="3EE251AC" w14:textId="77777777" w:rsidR="00471BEB" w:rsidRDefault="00471BEB" w:rsidP="00C35617">
      <w:pPr>
        <w:pStyle w:val="FootnoteText"/>
        <w:spacing w:after="0" w:line="240" w:lineRule="auto"/>
      </w:pPr>
      <w:r>
        <w:rPr>
          <w:rStyle w:val="FootnoteReference"/>
        </w:rPr>
        <w:footnoteRef/>
      </w:r>
      <w:r>
        <w:t xml:space="preserve"> </w:t>
      </w:r>
      <w:r w:rsidRPr="00C35617">
        <w:rPr>
          <w:rFonts w:ascii="Times New Roman" w:hAnsi="Times New Roman"/>
          <w:sz w:val="24"/>
          <w:u w:val="single"/>
        </w:rPr>
        <w:t>Id</w:t>
      </w:r>
      <w:r w:rsidRPr="008A369A">
        <w:rPr>
          <w:rFonts w:ascii="Times New Roman" w:hAnsi="Times New Roman"/>
          <w:i/>
          <w:sz w:val="24"/>
        </w:rPr>
        <w:t>.</w:t>
      </w:r>
      <w:r w:rsidRPr="008A369A">
        <w:rPr>
          <w:rFonts w:ascii="Times New Roman" w:hAnsi="Times New Roman"/>
          <w:sz w:val="24"/>
        </w:rPr>
        <w:t xml:space="preserve">  </w:t>
      </w:r>
    </w:p>
  </w:footnote>
  <w:footnote w:id="93">
    <w:p w14:paraId="0B6411D3" w14:textId="77777777" w:rsidR="00471BEB" w:rsidRPr="00FC68ED" w:rsidRDefault="00471BEB" w:rsidP="00FC68ED">
      <w:pPr>
        <w:pStyle w:val="FootnoteText"/>
        <w:spacing w:after="0" w:line="240" w:lineRule="auto"/>
        <w:rPr>
          <w:rFonts w:ascii="Times New Roman" w:hAnsi="Times New Roman"/>
          <w:sz w:val="24"/>
          <w:szCs w:val="24"/>
        </w:rPr>
      </w:pPr>
      <w:r w:rsidRPr="00FC68ED">
        <w:rPr>
          <w:rStyle w:val="FootnoteReference"/>
          <w:rFonts w:ascii="Times New Roman" w:hAnsi="Times New Roman"/>
          <w:sz w:val="24"/>
          <w:szCs w:val="24"/>
        </w:rPr>
        <w:footnoteRef/>
      </w:r>
      <w:r w:rsidRPr="00FC68ED">
        <w:rPr>
          <w:rFonts w:ascii="Times New Roman" w:hAnsi="Times New Roman"/>
          <w:sz w:val="24"/>
          <w:szCs w:val="24"/>
        </w:rPr>
        <w:t xml:space="preserve"> </w:t>
      </w:r>
      <w:r w:rsidRPr="00FC68ED">
        <w:rPr>
          <w:rFonts w:ascii="Times New Roman" w:hAnsi="Times New Roman"/>
          <w:sz w:val="24"/>
          <w:szCs w:val="24"/>
          <w:u w:val="single"/>
        </w:rPr>
        <w:t>Id</w:t>
      </w:r>
      <w:r w:rsidRPr="00FC68ED">
        <w:rPr>
          <w:rFonts w:ascii="Times New Roman" w:hAnsi="Times New Roman"/>
          <w:i/>
          <w:sz w:val="24"/>
          <w:szCs w:val="24"/>
        </w:rPr>
        <w:t>.</w:t>
      </w:r>
      <w:r w:rsidRPr="00FC68ED">
        <w:rPr>
          <w:rFonts w:ascii="Times New Roman" w:hAnsi="Times New Roman"/>
          <w:sz w:val="24"/>
          <w:szCs w:val="24"/>
        </w:rPr>
        <w:t xml:space="preserve"> (citing </w:t>
      </w:r>
      <w:r w:rsidRPr="00FC68ED">
        <w:rPr>
          <w:rFonts w:ascii="Times New Roman" w:hAnsi="Times New Roman"/>
          <w:sz w:val="24"/>
          <w:szCs w:val="24"/>
          <w:u w:val="single"/>
        </w:rPr>
        <w:t>Armour v. Peek</w:t>
      </w:r>
      <w:r w:rsidRPr="00FC68ED">
        <w:rPr>
          <w:rFonts w:ascii="Times New Roman" w:hAnsi="Times New Roman"/>
          <w:sz w:val="24"/>
          <w:szCs w:val="24"/>
        </w:rPr>
        <w:t xml:space="preserve">, 271 Ga. 202 (1999)).  </w:t>
      </w:r>
      <w:r w:rsidRPr="00FC68ED">
        <w:rPr>
          <w:rFonts w:ascii="Times New Roman" w:hAnsi="Times New Roman"/>
          <w:sz w:val="24"/>
          <w:szCs w:val="24"/>
          <w:u w:val="single"/>
        </w:rPr>
        <w:t>See</w:t>
      </w:r>
      <w:r w:rsidRPr="00FC68ED">
        <w:rPr>
          <w:rFonts w:ascii="Times New Roman" w:hAnsi="Times New Roman"/>
          <w:i/>
          <w:sz w:val="24"/>
          <w:szCs w:val="24"/>
        </w:rPr>
        <w:t xml:space="preserve"> </w:t>
      </w:r>
      <w:r w:rsidRPr="00FC68ED">
        <w:rPr>
          <w:rFonts w:ascii="Times New Roman" w:hAnsi="Times New Roman"/>
          <w:sz w:val="24"/>
          <w:szCs w:val="24"/>
          <w:u w:val="single"/>
        </w:rPr>
        <w:t>also</w:t>
      </w:r>
      <w:r w:rsidRPr="00FC68ED">
        <w:rPr>
          <w:rFonts w:ascii="Times New Roman" w:hAnsi="Times New Roman"/>
          <w:i/>
          <w:sz w:val="24"/>
          <w:szCs w:val="24"/>
        </w:rPr>
        <w:t xml:space="preserve"> </w:t>
      </w:r>
      <w:r w:rsidRPr="00FC68ED">
        <w:rPr>
          <w:rFonts w:ascii="Times New Roman" w:hAnsi="Times New Roman"/>
          <w:sz w:val="24"/>
          <w:szCs w:val="24"/>
          <w:u w:val="single"/>
        </w:rPr>
        <w:t>Williamson v. Fain</w:t>
      </w:r>
      <w:r w:rsidRPr="00FC68ED">
        <w:rPr>
          <w:rFonts w:ascii="Times New Roman" w:hAnsi="Times New Roman"/>
          <w:sz w:val="24"/>
          <w:szCs w:val="24"/>
        </w:rPr>
        <w:t>, 274 Ga. 413, 415 (2001) (evidence showed that plaintiff’s parents and predecessors in title had carried out acts recognized as acts of actual possession by cultivating property from 1949 through 1983 and then had changed the nature and appearance of the land by clear-cutting, wind-rowing, and replanting a pine tree plantation was sufficient to authorize the trial court’s ruling that plaintiff acquired prescriptive title to the property).</w:t>
      </w:r>
    </w:p>
  </w:footnote>
  <w:footnote w:id="94">
    <w:p w14:paraId="190C7311" w14:textId="77777777" w:rsidR="00471BEB" w:rsidRPr="00FC68ED" w:rsidRDefault="00471BEB" w:rsidP="00FC68ED">
      <w:pPr>
        <w:pStyle w:val="FootnoteText"/>
        <w:spacing w:after="0" w:line="240" w:lineRule="auto"/>
        <w:rPr>
          <w:rFonts w:ascii="Times New Roman" w:hAnsi="Times New Roman"/>
          <w:sz w:val="24"/>
          <w:szCs w:val="24"/>
        </w:rPr>
      </w:pPr>
      <w:r w:rsidRPr="00FC68ED">
        <w:rPr>
          <w:rStyle w:val="FootnoteReference"/>
          <w:rFonts w:ascii="Times New Roman" w:hAnsi="Times New Roman"/>
          <w:sz w:val="24"/>
          <w:szCs w:val="24"/>
        </w:rPr>
        <w:footnoteRef/>
      </w:r>
      <w:r w:rsidRPr="00FC68ED">
        <w:rPr>
          <w:rFonts w:ascii="Times New Roman" w:hAnsi="Times New Roman"/>
          <w:sz w:val="24"/>
          <w:szCs w:val="24"/>
        </w:rPr>
        <w:t xml:space="preserve"> In either case prescriptive title is valid against “everyone except the state and those persons laboring under the disabilities stated in Code Section 44-5-170.”  O.C.G.A. §§ 44-5-163, 44-5-164.</w:t>
      </w:r>
    </w:p>
  </w:footnote>
  <w:footnote w:id="95">
    <w:p w14:paraId="0DA71B7C" w14:textId="77777777" w:rsidR="00471BEB" w:rsidRPr="00FC68ED" w:rsidRDefault="00471BEB" w:rsidP="00BC1441">
      <w:pPr>
        <w:pStyle w:val="FootnoteText"/>
        <w:spacing w:after="0" w:line="240" w:lineRule="auto"/>
        <w:rPr>
          <w:rFonts w:ascii="Times New Roman" w:hAnsi="Times New Roman"/>
          <w:sz w:val="24"/>
          <w:szCs w:val="24"/>
        </w:rPr>
      </w:pPr>
      <w:r w:rsidRPr="00FC68ED">
        <w:rPr>
          <w:rStyle w:val="FootnoteReference"/>
          <w:rFonts w:ascii="Times New Roman" w:hAnsi="Times New Roman"/>
          <w:sz w:val="24"/>
          <w:szCs w:val="24"/>
        </w:rPr>
        <w:footnoteRef/>
      </w:r>
      <w:r w:rsidRPr="00FC68ED">
        <w:rPr>
          <w:rFonts w:ascii="Times New Roman" w:hAnsi="Times New Roman"/>
          <w:sz w:val="24"/>
          <w:szCs w:val="24"/>
        </w:rPr>
        <w:t xml:space="preserve"> </w:t>
      </w:r>
      <w:r w:rsidRPr="00FC68ED">
        <w:rPr>
          <w:rFonts w:ascii="Times New Roman" w:hAnsi="Times New Roman"/>
          <w:sz w:val="24"/>
          <w:szCs w:val="24"/>
          <w:u w:val="single"/>
        </w:rPr>
        <w:t>Gigger v. White</w:t>
      </w:r>
      <w:r w:rsidRPr="00FC68ED">
        <w:rPr>
          <w:rFonts w:ascii="Times New Roman" w:hAnsi="Times New Roman"/>
          <w:sz w:val="24"/>
          <w:szCs w:val="24"/>
        </w:rPr>
        <w:t xml:space="preserve">, 277 Ga. 68, 70 (2003) (quoting </w:t>
      </w:r>
      <w:r w:rsidRPr="00FC68ED">
        <w:rPr>
          <w:rFonts w:ascii="Times New Roman" w:hAnsi="Times New Roman"/>
          <w:sz w:val="24"/>
          <w:szCs w:val="24"/>
          <w:u w:val="single"/>
        </w:rPr>
        <w:t>Ponder v. Ponder</w:t>
      </w:r>
      <w:r w:rsidRPr="00FC68ED">
        <w:rPr>
          <w:rFonts w:ascii="Times New Roman" w:hAnsi="Times New Roman"/>
          <w:sz w:val="24"/>
          <w:szCs w:val="24"/>
        </w:rPr>
        <w:t xml:space="preserve">, 275 Ga. 616, 619 (2002)).  </w:t>
      </w:r>
    </w:p>
  </w:footnote>
  <w:footnote w:id="96">
    <w:p w14:paraId="5ED62263" w14:textId="77777777" w:rsidR="00471BEB" w:rsidRDefault="00471BEB" w:rsidP="00FC68ED">
      <w:pPr>
        <w:pStyle w:val="FootnoteText"/>
        <w:spacing w:line="240" w:lineRule="auto"/>
      </w:pPr>
      <w:r w:rsidRPr="00FC68ED">
        <w:rPr>
          <w:rStyle w:val="FootnoteReference"/>
          <w:rFonts w:ascii="Times New Roman" w:hAnsi="Times New Roman"/>
          <w:sz w:val="24"/>
          <w:szCs w:val="24"/>
        </w:rPr>
        <w:footnoteRef/>
      </w:r>
      <w:r w:rsidRPr="00FC68ED">
        <w:rPr>
          <w:rFonts w:ascii="Times New Roman" w:hAnsi="Times New Roman"/>
          <w:sz w:val="24"/>
          <w:szCs w:val="24"/>
        </w:rPr>
        <w:t xml:space="preserve"> </w:t>
      </w:r>
      <w:r w:rsidRPr="00FC68ED">
        <w:rPr>
          <w:rFonts w:ascii="Times New Roman" w:hAnsi="Times New Roman"/>
          <w:sz w:val="24"/>
          <w:szCs w:val="24"/>
          <w:u w:val="single"/>
        </w:rPr>
        <w:t>Id</w:t>
      </w:r>
      <w:r w:rsidRPr="00FC68ED">
        <w:rPr>
          <w:rFonts w:ascii="Times New Roman" w:hAnsi="Times New Roman"/>
          <w:i/>
          <w:sz w:val="24"/>
          <w:szCs w:val="24"/>
        </w:rPr>
        <w:t>.</w:t>
      </w:r>
      <w:r w:rsidRPr="00FC68ED">
        <w:rPr>
          <w:rFonts w:ascii="Times New Roman" w:hAnsi="Times New Roman"/>
          <w:sz w:val="24"/>
          <w:szCs w:val="24"/>
        </w:rPr>
        <w:t xml:space="preserve"> at 70-71 (citing </w:t>
      </w:r>
      <w:r w:rsidRPr="00FC68ED">
        <w:rPr>
          <w:rFonts w:ascii="Times New Roman" w:hAnsi="Times New Roman"/>
          <w:sz w:val="24"/>
          <w:szCs w:val="24"/>
          <w:u w:val="single"/>
        </w:rPr>
        <w:t>Smart v. Miller</w:t>
      </w:r>
      <w:r w:rsidRPr="00FC68ED">
        <w:rPr>
          <w:rFonts w:ascii="Times New Roman" w:hAnsi="Times New Roman"/>
          <w:sz w:val="24"/>
          <w:szCs w:val="24"/>
        </w:rPr>
        <w:t>, 260 Ga. 88 (1990)).</w:t>
      </w:r>
    </w:p>
  </w:footnote>
  <w:footnote w:id="97">
    <w:p w14:paraId="57F20E99" w14:textId="77777777" w:rsidR="00471BEB" w:rsidRDefault="00471BEB" w:rsidP="00FC68ED">
      <w:pPr>
        <w:pStyle w:val="FootnoteText"/>
        <w:spacing w:after="0" w:line="240" w:lineRule="auto"/>
      </w:pPr>
      <w:r>
        <w:rPr>
          <w:rStyle w:val="FootnoteReference"/>
        </w:rPr>
        <w:footnoteRef/>
      </w:r>
      <w:r>
        <w:t xml:space="preserve"> </w:t>
      </w:r>
      <w:r w:rsidRPr="00FC68ED">
        <w:rPr>
          <w:rFonts w:ascii="Times New Roman" w:hAnsi="Times New Roman"/>
          <w:sz w:val="24"/>
          <w:u w:val="single"/>
        </w:rPr>
        <w:t>Id</w:t>
      </w:r>
      <w:r w:rsidRPr="008A369A">
        <w:rPr>
          <w:rFonts w:ascii="Times New Roman" w:hAnsi="Times New Roman"/>
          <w:i/>
          <w:sz w:val="24"/>
        </w:rPr>
        <w:t>.</w:t>
      </w:r>
      <w:r w:rsidRPr="008A369A">
        <w:rPr>
          <w:rFonts w:ascii="Times New Roman" w:hAnsi="Times New Roman"/>
          <w:sz w:val="24"/>
        </w:rPr>
        <w:t xml:space="preserve"> at 71 n.3 (quoting </w:t>
      </w:r>
      <w:r w:rsidRPr="00FC68ED">
        <w:rPr>
          <w:rFonts w:ascii="Times New Roman" w:hAnsi="Times New Roman"/>
          <w:sz w:val="24"/>
          <w:u w:val="single"/>
        </w:rPr>
        <w:t>Smart</w:t>
      </w:r>
      <w:r w:rsidRPr="008A369A">
        <w:rPr>
          <w:rFonts w:ascii="Times New Roman" w:hAnsi="Times New Roman"/>
          <w:sz w:val="24"/>
        </w:rPr>
        <w:t>, 260 Ga. at 89 (internal citations omitted)).</w:t>
      </w:r>
    </w:p>
  </w:footnote>
  <w:footnote w:id="98">
    <w:p w14:paraId="7C26ED3A" w14:textId="77777777" w:rsidR="00471BEB" w:rsidRDefault="00471BEB" w:rsidP="00FC68ED">
      <w:pPr>
        <w:pStyle w:val="FootnoteText"/>
        <w:spacing w:after="0" w:line="240" w:lineRule="auto"/>
      </w:pPr>
      <w:r>
        <w:rPr>
          <w:rStyle w:val="FootnoteReference"/>
        </w:rPr>
        <w:footnoteRef/>
      </w:r>
      <w:r>
        <w:t xml:space="preserve"> </w:t>
      </w:r>
      <w:r w:rsidRPr="00FC68ED">
        <w:rPr>
          <w:rFonts w:ascii="Times New Roman" w:hAnsi="Times New Roman"/>
          <w:sz w:val="24"/>
          <w:u w:val="single"/>
        </w:rPr>
        <w:t>Id</w:t>
      </w:r>
      <w:r w:rsidRPr="008A369A">
        <w:rPr>
          <w:rFonts w:ascii="Times New Roman" w:hAnsi="Times New Roman"/>
          <w:i/>
          <w:sz w:val="24"/>
        </w:rPr>
        <w:t>.</w:t>
      </w:r>
      <w:r w:rsidRPr="008A369A">
        <w:rPr>
          <w:rFonts w:ascii="Times New Roman" w:hAnsi="Times New Roman"/>
          <w:sz w:val="24"/>
        </w:rPr>
        <w:t xml:space="preserve"> at 71.  </w:t>
      </w:r>
    </w:p>
  </w:footnote>
  <w:footnote w:id="99">
    <w:p w14:paraId="7C67CE9D" w14:textId="77777777" w:rsidR="00471BEB" w:rsidRDefault="00471BEB" w:rsidP="00FC68ED">
      <w:pPr>
        <w:pStyle w:val="FootnoteText"/>
        <w:spacing w:after="0" w:line="240" w:lineRule="auto"/>
      </w:pPr>
      <w:r>
        <w:rPr>
          <w:rStyle w:val="FootnoteReference"/>
        </w:rPr>
        <w:footnoteRef/>
      </w:r>
      <w:r>
        <w:t xml:space="preserve"> </w:t>
      </w:r>
      <w:r w:rsidRPr="00FC68ED">
        <w:rPr>
          <w:rFonts w:ascii="Times New Roman" w:hAnsi="Times New Roman"/>
          <w:sz w:val="24"/>
          <w:u w:val="single"/>
        </w:rPr>
        <w:t>Id</w:t>
      </w:r>
      <w:r w:rsidRPr="008A369A">
        <w:rPr>
          <w:rFonts w:ascii="Times New Roman" w:hAnsi="Times New Roman"/>
          <w:i/>
          <w:sz w:val="24"/>
        </w:rPr>
        <w:t>.</w:t>
      </w:r>
      <w:r w:rsidRPr="008A369A">
        <w:rPr>
          <w:rFonts w:ascii="Times New Roman" w:hAnsi="Times New Roman"/>
          <w:sz w:val="24"/>
        </w:rPr>
        <w:t xml:space="preserve">  </w:t>
      </w:r>
    </w:p>
  </w:footnote>
  <w:footnote w:id="100">
    <w:p w14:paraId="356E69AD" w14:textId="77777777" w:rsidR="00471BEB" w:rsidRDefault="00471BEB" w:rsidP="00FC68ED">
      <w:pPr>
        <w:pStyle w:val="FootnoteText"/>
        <w:spacing w:after="0" w:line="240" w:lineRule="auto"/>
      </w:pPr>
      <w:r>
        <w:rPr>
          <w:rStyle w:val="FootnoteReference"/>
        </w:rPr>
        <w:footnoteRef/>
      </w:r>
      <w:r>
        <w:t xml:space="preserve"> </w:t>
      </w:r>
      <w:r w:rsidRPr="00FC68ED">
        <w:rPr>
          <w:rFonts w:ascii="Times New Roman" w:hAnsi="Times New Roman"/>
          <w:sz w:val="24"/>
          <w:u w:val="single"/>
        </w:rPr>
        <w:t>Id</w:t>
      </w:r>
      <w:r w:rsidRPr="008A369A">
        <w:rPr>
          <w:rFonts w:ascii="Times New Roman" w:hAnsi="Times New Roman"/>
          <w:i/>
          <w:sz w:val="24"/>
        </w:rPr>
        <w:t>.</w:t>
      </w:r>
      <w:r w:rsidRPr="008A369A">
        <w:rPr>
          <w:rFonts w:ascii="Times New Roman" w:hAnsi="Times New Roman"/>
          <w:sz w:val="24"/>
        </w:rPr>
        <w:t xml:space="preserve">  </w:t>
      </w:r>
    </w:p>
  </w:footnote>
  <w:footnote w:id="101">
    <w:p w14:paraId="67D8E970" w14:textId="77777777" w:rsidR="00471BEB" w:rsidRDefault="00471BEB" w:rsidP="00FC68ED">
      <w:pPr>
        <w:pStyle w:val="FootnoteText"/>
        <w:spacing w:after="0" w:line="240" w:lineRule="auto"/>
      </w:pPr>
      <w:r>
        <w:rPr>
          <w:rStyle w:val="FootnoteReference"/>
        </w:rPr>
        <w:footnoteRef/>
      </w:r>
      <w:r>
        <w:t xml:space="preserve"> </w:t>
      </w:r>
      <w:r w:rsidRPr="00FC68ED">
        <w:rPr>
          <w:rFonts w:ascii="Times New Roman" w:hAnsi="Times New Roman"/>
          <w:sz w:val="24"/>
          <w:u w:val="single"/>
        </w:rPr>
        <w:t>Id</w:t>
      </w:r>
      <w:r w:rsidRPr="008A369A">
        <w:rPr>
          <w:rFonts w:ascii="Times New Roman" w:hAnsi="Times New Roman"/>
          <w:i/>
          <w:sz w:val="24"/>
        </w:rPr>
        <w:t>.</w:t>
      </w:r>
      <w:r w:rsidRPr="008A369A">
        <w:rPr>
          <w:rFonts w:ascii="Times New Roman" w:hAnsi="Times New Roman"/>
          <w:sz w:val="24"/>
        </w:rPr>
        <w:t xml:space="preserve">  </w:t>
      </w:r>
      <w:r w:rsidRPr="00FC68ED">
        <w:rPr>
          <w:rFonts w:ascii="Times New Roman" w:hAnsi="Times New Roman"/>
          <w:sz w:val="24"/>
          <w:u w:val="single"/>
        </w:rPr>
        <w:t>See</w:t>
      </w:r>
      <w:r w:rsidRPr="008A369A">
        <w:rPr>
          <w:rFonts w:ascii="Times New Roman" w:hAnsi="Times New Roman"/>
          <w:i/>
          <w:sz w:val="24"/>
        </w:rPr>
        <w:t xml:space="preserve"> </w:t>
      </w:r>
      <w:r w:rsidRPr="00FC68ED">
        <w:rPr>
          <w:rFonts w:ascii="Times New Roman" w:hAnsi="Times New Roman"/>
          <w:sz w:val="24"/>
          <w:u w:val="single"/>
        </w:rPr>
        <w:t>also</w:t>
      </w:r>
      <w:r w:rsidRPr="008A369A">
        <w:rPr>
          <w:rFonts w:ascii="Times New Roman" w:hAnsi="Times New Roman"/>
          <w:i/>
          <w:sz w:val="24"/>
        </w:rPr>
        <w:t xml:space="preserve"> </w:t>
      </w:r>
      <w:r w:rsidRPr="00FC68ED">
        <w:rPr>
          <w:rFonts w:ascii="Times New Roman" w:hAnsi="Times New Roman"/>
          <w:sz w:val="24"/>
          <w:u w:val="single"/>
        </w:rPr>
        <w:t>Matthews v. Crowder,</w:t>
      </w:r>
      <w:r w:rsidRPr="008A369A">
        <w:rPr>
          <w:rFonts w:ascii="Times New Roman" w:hAnsi="Times New Roman"/>
          <w:sz w:val="24"/>
        </w:rPr>
        <w:t xml:space="preserve"> 281 Ga. 842, 843-45 (2007) (a deed reserving a grantor’s right to live in a house for the remainder of her life was color of title for an adverse possession claim against a prior grantor’s heirs claiming an interest by intestate succession due to invalid deed between the grantors, and the owners under color of title could thus establish adverse possession against the heirs, with the seven-year prescriptive period beginning to run no later than the death of the grantor).  </w:t>
      </w:r>
      <w:r w:rsidRPr="00FC68ED">
        <w:rPr>
          <w:rFonts w:ascii="Times New Roman" w:hAnsi="Times New Roman"/>
          <w:sz w:val="24"/>
          <w:u w:val="single"/>
        </w:rPr>
        <w:t>But</w:t>
      </w:r>
      <w:r w:rsidRPr="008A369A">
        <w:rPr>
          <w:rFonts w:ascii="Times New Roman" w:hAnsi="Times New Roman"/>
          <w:i/>
          <w:sz w:val="24"/>
        </w:rPr>
        <w:t xml:space="preserve"> </w:t>
      </w:r>
      <w:r w:rsidRPr="00FC68ED">
        <w:rPr>
          <w:rFonts w:ascii="Times New Roman" w:hAnsi="Times New Roman"/>
          <w:sz w:val="24"/>
          <w:u w:val="single"/>
        </w:rPr>
        <w:t>see</w:t>
      </w:r>
      <w:r w:rsidRPr="008A369A">
        <w:rPr>
          <w:rFonts w:ascii="Times New Roman" w:hAnsi="Times New Roman"/>
          <w:i/>
          <w:sz w:val="24"/>
        </w:rPr>
        <w:t xml:space="preserve"> </w:t>
      </w:r>
      <w:r w:rsidRPr="00FC68ED">
        <w:rPr>
          <w:rFonts w:ascii="Times New Roman" w:hAnsi="Times New Roman"/>
          <w:sz w:val="24"/>
          <w:u w:val="single"/>
        </w:rPr>
        <w:t>Haffner v. Davis</w:t>
      </w:r>
      <w:r w:rsidRPr="008A369A">
        <w:rPr>
          <w:rFonts w:ascii="Times New Roman" w:hAnsi="Times New Roman"/>
          <w:sz w:val="24"/>
        </w:rPr>
        <w:t>, 290 Ga. 753, 754 (2012) (plaintiff could not claim adverse possession under color of title because his deed depicted the disputed property as outside of the property he purchased and therefore did not provide written evidence of title).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12FE6"/>
    <w:multiLevelType w:val="hybridMultilevel"/>
    <w:tmpl w:val="27EE6214"/>
    <w:lvl w:ilvl="0" w:tplc="5E1A8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E1A5F"/>
    <w:multiLevelType w:val="hybridMultilevel"/>
    <w:tmpl w:val="D180C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67B4B"/>
    <w:multiLevelType w:val="hybridMultilevel"/>
    <w:tmpl w:val="46244E2C"/>
    <w:lvl w:ilvl="0" w:tplc="98F6A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F323A9"/>
    <w:multiLevelType w:val="hybridMultilevel"/>
    <w:tmpl w:val="9D38F7D6"/>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1E0280E0">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77D11"/>
    <w:multiLevelType w:val="hybridMultilevel"/>
    <w:tmpl w:val="B3F8D24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23748A"/>
    <w:multiLevelType w:val="hybridMultilevel"/>
    <w:tmpl w:val="DA5229E0"/>
    <w:lvl w:ilvl="0" w:tplc="9B3CB3EC">
      <w:start w:val="1"/>
      <w:numFmt w:val="upperLetter"/>
      <w:lvlText w:val="%1."/>
      <w:lvlJc w:val="left"/>
      <w:pPr>
        <w:ind w:left="720" w:hanging="360"/>
      </w:pPr>
      <w:rPr>
        <w:rFonts w:hint="default"/>
        <w:b/>
        <w:color w:val="1C1C1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A6FC0"/>
    <w:multiLevelType w:val="hybridMultilevel"/>
    <w:tmpl w:val="BD922254"/>
    <w:lvl w:ilvl="0" w:tplc="0409000F">
      <w:start w:val="1"/>
      <w:numFmt w:val="decimal"/>
      <w:lvlText w:val="%1."/>
      <w:lvlJc w:val="lef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D4FAC"/>
    <w:multiLevelType w:val="hybridMultilevel"/>
    <w:tmpl w:val="0B26EEB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43AF1"/>
    <w:multiLevelType w:val="hybridMultilevel"/>
    <w:tmpl w:val="CCC0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43FE1"/>
    <w:multiLevelType w:val="hybridMultilevel"/>
    <w:tmpl w:val="C84208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957074"/>
    <w:multiLevelType w:val="hybridMultilevel"/>
    <w:tmpl w:val="280A5062"/>
    <w:lvl w:ilvl="0" w:tplc="04090017">
      <w:start w:val="1"/>
      <w:numFmt w:val="lowerLetter"/>
      <w:lvlText w:val="%1)"/>
      <w:lvlJc w:val="left"/>
      <w:pPr>
        <w:ind w:left="1080" w:hanging="360"/>
      </w:pPr>
      <w:rPr>
        <w:rFonts w:hint="default"/>
        <w:b w:val="0"/>
        <w:i w:val="0"/>
        <w:color w:val="1C1C1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2010EF"/>
    <w:multiLevelType w:val="hybridMultilevel"/>
    <w:tmpl w:val="EF10F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53655"/>
    <w:multiLevelType w:val="hybridMultilevel"/>
    <w:tmpl w:val="5D54B24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652E0F"/>
    <w:multiLevelType w:val="hybridMultilevel"/>
    <w:tmpl w:val="FD321AF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AF4F68"/>
    <w:multiLevelType w:val="hybridMultilevel"/>
    <w:tmpl w:val="E37EF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E67B3"/>
    <w:multiLevelType w:val="hybridMultilevel"/>
    <w:tmpl w:val="344EE0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C5C4A67"/>
    <w:multiLevelType w:val="hybridMultilevel"/>
    <w:tmpl w:val="44BC6F1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3E336BE6"/>
    <w:multiLevelType w:val="hybridMultilevel"/>
    <w:tmpl w:val="34AAB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C462E"/>
    <w:multiLevelType w:val="hybridMultilevel"/>
    <w:tmpl w:val="64906D9A"/>
    <w:lvl w:ilvl="0" w:tplc="679096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0D2F25"/>
    <w:multiLevelType w:val="hybridMultilevel"/>
    <w:tmpl w:val="918E9E2C"/>
    <w:lvl w:ilvl="0" w:tplc="F4786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2B66D3"/>
    <w:multiLevelType w:val="hybridMultilevel"/>
    <w:tmpl w:val="8494A76A"/>
    <w:lvl w:ilvl="0" w:tplc="04090017">
      <w:start w:val="1"/>
      <w:numFmt w:val="lowerLetter"/>
      <w:lvlText w:val="%1)"/>
      <w:lvlJc w:val="left"/>
      <w:pPr>
        <w:ind w:left="1080" w:hanging="360"/>
      </w:pPr>
      <w:rPr>
        <w:rFonts w:hint="default"/>
        <w:b w:val="0"/>
        <w:i w:val="0"/>
        <w:color w:val="1C1C1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C745E8"/>
    <w:multiLevelType w:val="hybridMultilevel"/>
    <w:tmpl w:val="81700AF8"/>
    <w:lvl w:ilvl="0" w:tplc="4EC08042">
      <w:start w:val="1"/>
      <w:numFmt w:val="upperLetter"/>
      <w:pStyle w:val="Heading1"/>
      <w:lvlText w:val="%1."/>
      <w:lvlJc w:val="left"/>
      <w:pPr>
        <w:ind w:left="72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9E1D9D"/>
    <w:multiLevelType w:val="hybridMultilevel"/>
    <w:tmpl w:val="1F0A095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E25A5D"/>
    <w:multiLevelType w:val="hybridMultilevel"/>
    <w:tmpl w:val="87229FBA"/>
    <w:lvl w:ilvl="0" w:tplc="A02052E0">
      <w:start w:val="1"/>
      <w:numFmt w:val="upperRoman"/>
      <w:lvlText w:val="%1."/>
      <w:lvlJc w:val="left"/>
      <w:pPr>
        <w:ind w:left="720" w:hanging="720"/>
      </w:pPr>
      <w:rPr>
        <w:rFonts w:hint="default"/>
      </w:rPr>
    </w:lvl>
    <w:lvl w:ilvl="1" w:tplc="E4AACEDC">
      <w:start w:val="1"/>
      <w:numFmt w:val="upperLetter"/>
      <w:lvlText w:val="%2."/>
      <w:lvlJc w:val="left"/>
      <w:pPr>
        <w:ind w:left="1080" w:hanging="360"/>
      </w:pPr>
      <w:rPr>
        <w:b/>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DC5F86"/>
    <w:multiLevelType w:val="hybridMultilevel"/>
    <w:tmpl w:val="D180C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300CAE"/>
    <w:multiLevelType w:val="hybridMultilevel"/>
    <w:tmpl w:val="58E4A44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42467"/>
    <w:multiLevelType w:val="hybridMultilevel"/>
    <w:tmpl w:val="0AF6BCA8"/>
    <w:lvl w:ilvl="0" w:tplc="18446FC4">
      <w:start w:val="1"/>
      <w:numFmt w:val="decimal"/>
      <w:lvlText w:val="%1."/>
      <w:lvlJc w:val="left"/>
      <w:pPr>
        <w:ind w:left="1080" w:hanging="360"/>
      </w:pPr>
      <w:rPr>
        <w:rFonts w:eastAsia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292CB6"/>
    <w:multiLevelType w:val="hybridMultilevel"/>
    <w:tmpl w:val="646AAFC2"/>
    <w:lvl w:ilvl="0" w:tplc="7CB803A6">
      <w:start w:val="1"/>
      <w:numFmt w:val="decimal"/>
      <w:lvlText w:val="%1."/>
      <w:lvlJc w:val="left"/>
      <w:pPr>
        <w:ind w:left="720" w:hanging="360"/>
      </w:pPr>
      <w:rPr>
        <w:rFonts w:hint="default"/>
        <w:b w:val="0"/>
        <w:color w:val="1C1C1C"/>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20"/>
  </w:num>
  <w:num w:numId="4">
    <w:abstractNumId w:val="15"/>
  </w:num>
  <w:num w:numId="5">
    <w:abstractNumId w:val="18"/>
  </w:num>
  <w:num w:numId="6">
    <w:abstractNumId w:val="2"/>
  </w:num>
  <w:num w:numId="7">
    <w:abstractNumId w:val="12"/>
  </w:num>
  <w:num w:numId="8">
    <w:abstractNumId w:val="25"/>
  </w:num>
  <w:num w:numId="9">
    <w:abstractNumId w:val="7"/>
  </w:num>
  <w:num w:numId="10">
    <w:abstractNumId w:val="26"/>
  </w:num>
  <w:num w:numId="11">
    <w:abstractNumId w:val="11"/>
  </w:num>
  <w:num w:numId="12">
    <w:abstractNumId w:val="0"/>
  </w:num>
  <w:num w:numId="13">
    <w:abstractNumId w:val="4"/>
  </w:num>
  <w:num w:numId="14">
    <w:abstractNumId w:val="3"/>
  </w:num>
  <w:num w:numId="15">
    <w:abstractNumId w:val="17"/>
  </w:num>
  <w:num w:numId="16">
    <w:abstractNumId w:val="22"/>
  </w:num>
  <w:num w:numId="17">
    <w:abstractNumId w:val="8"/>
  </w:num>
  <w:num w:numId="18">
    <w:abstractNumId w:val="21"/>
  </w:num>
  <w:num w:numId="19">
    <w:abstractNumId w:val="9"/>
  </w:num>
  <w:num w:numId="20">
    <w:abstractNumId w:val="19"/>
  </w:num>
  <w:num w:numId="21">
    <w:abstractNumId w:val="14"/>
  </w:num>
  <w:num w:numId="22">
    <w:abstractNumId w:val="13"/>
  </w:num>
  <w:num w:numId="23">
    <w:abstractNumId w:val="10"/>
  </w:num>
  <w:num w:numId="24">
    <w:abstractNumId w:val="6"/>
  </w:num>
  <w:num w:numId="25">
    <w:abstractNumId w:val="27"/>
  </w:num>
  <w:num w:numId="26">
    <w:abstractNumId w:val="24"/>
  </w:num>
  <w:num w:numId="27">
    <w:abstractNumId w:val="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692"/>
    <w:rsid w:val="00000A10"/>
    <w:rsid w:val="00007A48"/>
    <w:rsid w:val="000162DE"/>
    <w:rsid w:val="00017B8D"/>
    <w:rsid w:val="00023446"/>
    <w:rsid w:val="00027ADC"/>
    <w:rsid w:val="0004166B"/>
    <w:rsid w:val="00043DE8"/>
    <w:rsid w:val="00053FAC"/>
    <w:rsid w:val="000602C6"/>
    <w:rsid w:val="000975F8"/>
    <w:rsid w:val="000A52A2"/>
    <w:rsid w:val="000A5843"/>
    <w:rsid w:val="000B7C24"/>
    <w:rsid w:val="000D0282"/>
    <w:rsid w:val="000E509F"/>
    <w:rsid w:val="000F79A8"/>
    <w:rsid w:val="00120D26"/>
    <w:rsid w:val="00123100"/>
    <w:rsid w:val="00135401"/>
    <w:rsid w:val="001526DC"/>
    <w:rsid w:val="001622B7"/>
    <w:rsid w:val="00164EB6"/>
    <w:rsid w:val="001735B7"/>
    <w:rsid w:val="001912F0"/>
    <w:rsid w:val="00191A05"/>
    <w:rsid w:val="00192C7A"/>
    <w:rsid w:val="00195692"/>
    <w:rsid w:val="001E679E"/>
    <w:rsid w:val="001F0374"/>
    <w:rsid w:val="002148D1"/>
    <w:rsid w:val="00220443"/>
    <w:rsid w:val="00233560"/>
    <w:rsid w:val="002347EF"/>
    <w:rsid w:val="002416BD"/>
    <w:rsid w:val="00252ECD"/>
    <w:rsid w:val="002549C9"/>
    <w:rsid w:val="002552B1"/>
    <w:rsid w:val="00255FFD"/>
    <w:rsid w:val="00271C54"/>
    <w:rsid w:val="0027235C"/>
    <w:rsid w:val="00280085"/>
    <w:rsid w:val="00285172"/>
    <w:rsid w:val="00291E22"/>
    <w:rsid w:val="00297E85"/>
    <w:rsid w:val="002D2D74"/>
    <w:rsid w:val="002D5EF3"/>
    <w:rsid w:val="002E4418"/>
    <w:rsid w:val="002F50A4"/>
    <w:rsid w:val="00303371"/>
    <w:rsid w:val="0030614F"/>
    <w:rsid w:val="00311E07"/>
    <w:rsid w:val="0032352F"/>
    <w:rsid w:val="00323C92"/>
    <w:rsid w:val="00326AB5"/>
    <w:rsid w:val="00344018"/>
    <w:rsid w:val="00362D0B"/>
    <w:rsid w:val="00364E65"/>
    <w:rsid w:val="003873E2"/>
    <w:rsid w:val="003A1AA2"/>
    <w:rsid w:val="003A1CB3"/>
    <w:rsid w:val="003E39E6"/>
    <w:rsid w:val="003E3F03"/>
    <w:rsid w:val="00413CEB"/>
    <w:rsid w:val="00415918"/>
    <w:rsid w:val="00426AE8"/>
    <w:rsid w:val="00471BEB"/>
    <w:rsid w:val="00473A3B"/>
    <w:rsid w:val="00474292"/>
    <w:rsid w:val="00477435"/>
    <w:rsid w:val="00480A00"/>
    <w:rsid w:val="0048218D"/>
    <w:rsid w:val="0049713C"/>
    <w:rsid w:val="004A269F"/>
    <w:rsid w:val="004B199F"/>
    <w:rsid w:val="004B2C11"/>
    <w:rsid w:val="004B4515"/>
    <w:rsid w:val="004C4939"/>
    <w:rsid w:val="004D08B1"/>
    <w:rsid w:val="004D139A"/>
    <w:rsid w:val="004D34E2"/>
    <w:rsid w:val="00523C9A"/>
    <w:rsid w:val="00525983"/>
    <w:rsid w:val="00546F4E"/>
    <w:rsid w:val="0056281A"/>
    <w:rsid w:val="005633AE"/>
    <w:rsid w:val="00593551"/>
    <w:rsid w:val="005949DB"/>
    <w:rsid w:val="005A18D3"/>
    <w:rsid w:val="005D2B7C"/>
    <w:rsid w:val="005D66C7"/>
    <w:rsid w:val="005D6996"/>
    <w:rsid w:val="005E22B7"/>
    <w:rsid w:val="005E3235"/>
    <w:rsid w:val="00607267"/>
    <w:rsid w:val="006124C1"/>
    <w:rsid w:val="00632E14"/>
    <w:rsid w:val="00667373"/>
    <w:rsid w:val="006724D2"/>
    <w:rsid w:val="00676190"/>
    <w:rsid w:val="0068271A"/>
    <w:rsid w:val="006B37F4"/>
    <w:rsid w:val="006D00E1"/>
    <w:rsid w:val="006D3D5C"/>
    <w:rsid w:val="006E7D7C"/>
    <w:rsid w:val="00730830"/>
    <w:rsid w:val="007347DD"/>
    <w:rsid w:val="00763992"/>
    <w:rsid w:val="0077101C"/>
    <w:rsid w:val="00772DBC"/>
    <w:rsid w:val="00787934"/>
    <w:rsid w:val="007A3BBB"/>
    <w:rsid w:val="007D39D2"/>
    <w:rsid w:val="00805294"/>
    <w:rsid w:val="00812DA9"/>
    <w:rsid w:val="00860B03"/>
    <w:rsid w:val="00876DBB"/>
    <w:rsid w:val="008807B2"/>
    <w:rsid w:val="0088387F"/>
    <w:rsid w:val="008842AA"/>
    <w:rsid w:val="00890320"/>
    <w:rsid w:val="00892242"/>
    <w:rsid w:val="008965AD"/>
    <w:rsid w:val="00897AF5"/>
    <w:rsid w:val="008A2F8E"/>
    <w:rsid w:val="008A369A"/>
    <w:rsid w:val="008A5C8A"/>
    <w:rsid w:val="008B125A"/>
    <w:rsid w:val="008B30DA"/>
    <w:rsid w:val="008E34F6"/>
    <w:rsid w:val="008F03E1"/>
    <w:rsid w:val="00900574"/>
    <w:rsid w:val="0091205D"/>
    <w:rsid w:val="0093379C"/>
    <w:rsid w:val="00942FE2"/>
    <w:rsid w:val="00954D7D"/>
    <w:rsid w:val="009704AD"/>
    <w:rsid w:val="00990839"/>
    <w:rsid w:val="00993664"/>
    <w:rsid w:val="00994F2A"/>
    <w:rsid w:val="009A037C"/>
    <w:rsid w:val="009D046C"/>
    <w:rsid w:val="009E5E21"/>
    <w:rsid w:val="00A26A45"/>
    <w:rsid w:val="00A36BEC"/>
    <w:rsid w:val="00A452A0"/>
    <w:rsid w:val="00A503E1"/>
    <w:rsid w:val="00A5547B"/>
    <w:rsid w:val="00A6588A"/>
    <w:rsid w:val="00A7138F"/>
    <w:rsid w:val="00A95890"/>
    <w:rsid w:val="00AA3866"/>
    <w:rsid w:val="00AB0FCC"/>
    <w:rsid w:val="00AB23DD"/>
    <w:rsid w:val="00AD5C29"/>
    <w:rsid w:val="00AE2A52"/>
    <w:rsid w:val="00AE6052"/>
    <w:rsid w:val="00B11FC4"/>
    <w:rsid w:val="00B12FD4"/>
    <w:rsid w:val="00B31E11"/>
    <w:rsid w:val="00B33E8F"/>
    <w:rsid w:val="00B37323"/>
    <w:rsid w:val="00B42A9B"/>
    <w:rsid w:val="00B42E51"/>
    <w:rsid w:val="00B450C0"/>
    <w:rsid w:val="00B5391D"/>
    <w:rsid w:val="00B57603"/>
    <w:rsid w:val="00B73A00"/>
    <w:rsid w:val="00B779C5"/>
    <w:rsid w:val="00B92A24"/>
    <w:rsid w:val="00B95F39"/>
    <w:rsid w:val="00BA7179"/>
    <w:rsid w:val="00BC1441"/>
    <w:rsid w:val="00C00FAF"/>
    <w:rsid w:val="00C15546"/>
    <w:rsid w:val="00C167F2"/>
    <w:rsid w:val="00C23D21"/>
    <w:rsid w:val="00C265DF"/>
    <w:rsid w:val="00C32EB9"/>
    <w:rsid w:val="00C35617"/>
    <w:rsid w:val="00C51614"/>
    <w:rsid w:val="00C55876"/>
    <w:rsid w:val="00C67D18"/>
    <w:rsid w:val="00C85791"/>
    <w:rsid w:val="00CA3320"/>
    <w:rsid w:val="00CA3686"/>
    <w:rsid w:val="00CA4807"/>
    <w:rsid w:val="00CB17AE"/>
    <w:rsid w:val="00CB4F89"/>
    <w:rsid w:val="00CD464C"/>
    <w:rsid w:val="00CD64B5"/>
    <w:rsid w:val="00CE6271"/>
    <w:rsid w:val="00CF3F11"/>
    <w:rsid w:val="00CF7FC7"/>
    <w:rsid w:val="00D061AF"/>
    <w:rsid w:val="00D0741B"/>
    <w:rsid w:val="00D21599"/>
    <w:rsid w:val="00D26168"/>
    <w:rsid w:val="00D303A7"/>
    <w:rsid w:val="00D77E1A"/>
    <w:rsid w:val="00D92728"/>
    <w:rsid w:val="00D9723D"/>
    <w:rsid w:val="00DE3062"/>
    <w:rsid w:val="00DE634E"/>
    <w:rsid w:val="00DF02E5"/>
    <w:rsid w:val="00E0099C"/>
    <w:rsid w:val="00E15CF0"/>
    <w:rsid w:val="00E24A5E"/>
    <w:rsid w:val="00E6662C"/>
    <w:rsid w:val="00EB587F"/>
    <w:rsid w:val="00ED4314"/>
    <w:rsid w:val="00EF72E5"/>
    <w:rsid w:val="00F15DE7"/>
    <w:rsid w:val="00F4250C"/>
    <w:rsid w:val="00F54021"/>
    <w:rsid w:val="00F55CF1"/>
    <w:rsid w:val="00F6643C"/>
    <w:rsid w:val="00F9406C"/>
    <w:rsid w:val="00FA6CC8"/>
    <w:rsid w:val="00FC5F2A"/>
    <w:rsid w:val="00FC68ED"/>
    <w:rsid w:val="00FF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EFF4"/>
  <w15:docId w15:val="{415AB22F-F379-4649-8BDB-DEF567E0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A5547B"/>
    <w:pPr>
      <w:numPr>
        <w:numId w:val="18"/>
      </w:numPr>
      <w:outlineLvl w:val="0"/>
    </w:pPr>
    <w:rPr>
      <w:rFonts w:ascii="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692"/>
    <w:pPr>
      <w:ind w:left="720"/>
      <w:contextualSpacing/>
    </w:pPr>
  </w:style>
  <w:style w:type="paragraph" w:styleId="NormalWeb">
    <w:name w:val="Normal (Web)"/>
    <w:basedOn w:val="Normal"/>
    <w:uiPriority w:val="99"/>
    <w:unhideWhenUsed/>
    <w:rsid w:val="003873E2"/>
    <w:pPr>
      <w:spacing w:before="100" w:beforeAutospacing="1" w:after="100" w:afterAutospacing="1" w:line="39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164EB6"/>
    <w:rPr>
      <w:b/>
      <w:bCs/>
      <w:color w:val="1C1C1C"/>
    </w:rPr>
  </w:style>
  <w:style w:type="paragraph" w:styleId="FootnoteText">
    <w:name w:val="footnote text"/>
    <w:basedOn w:val="Normal"/>
    <w:link w:val="FootnoteTextChar"/>
    <w:uiPriority w:val="99"/>
    <w:unhideWhenUsed/>
    <w:rsid w:val="008A369A"/>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A369A"/>
    <w:rPr>
      <w:rFonts w:ascii="Calibri" w:eastAsia="Calibri" w:hAnsi="Calibri" w:cs="Times New Roman"/>
      <w:sz w:val="20"/>
      <w:szCs w:val="20"/>
    </w:rPr>
  </w:style>
  <w:style w:type="character" w:styleId="FootnoteReference">
    <w:name w:val="footnote reference"/>
    <w:uiPriority w:val="99"/>
    <w:unhideWhenUsed/>
    <w:rsid w:val="008A369A"/>
    <w:rPr>
      <w:vertAlign w:val="superscript"/>
    </w:rPr>
  </w:style>
  <w:style w:type="paragraph" w:styleId="Header">
    <w:name w:val="header"/>
    <w:basedOn w:val="Normal"/>
    <w:link w:val="HeaderChar"/>
    <w:uiPriority w:val="99"/>
    <w:unhideWhenUsed/>
    <w:rsid w:val="0099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F2A"/>
  </w:style>
  <w:style w:type="paragraph" w:styleId="Footer">
    <w:name w:val="footer"/>
    <w:basedOn w:val="Normal"/>
    <w:link w:val="FooterChar"/>
    <w:uiPriority w:val="99"/>
    <w:unhideWhenUsed/>
    <w:rsid w:val="0099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F2A"/>
  </w:style>
  <w:style w:type="character" w:customStyle="1" w:styleId="Heading1Char">
    <w:name w:val="Heading 1 Char"/>
    <w:basedOn w:val="DefaultParagraphFont"/>
    <w:link w:val="Heading1"/>
    <w:uiPriority w:val="9"/>
    <w:rsid w:val="00A5547B"/>
    <w:rPr>
      <w:rFonts w:ascii="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48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9D02D-D16C-4C3F-B29B-E76BC767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18</Pages>
  <Words>4411</Words>
  <Characters>23093</Characters>
  <Application>Microsoft Office Word</Application>
  <DocSecurity>0</DocSecurity>
  <PresentationFormat/>
  <Lines>333</Lines>
  <Paragraphs>52</Paragraphs>
  <ScaleCrop>false</ScaleCrop>
  <HeadingPairs>
    <vt:vector size="2" baseType="variant">
      <vt:variant>
        <vt:lpstr>Title</vt:lpstr>
      </vt:variant>
      <vt:variant>
        <vt:i4>1</vt:i4>
      </vt:variant>
    </vt:vector>
  </HeadingPairs>
  <TitlesOfParts>
    <vt:vector size="1" baseType="lpstr">
      <vt:lpstr>Title Law CLE - Adverse Possession (00369718).DOCX</vt:lpstr>
    </vt:vector>
  </TitlesOfParts>
  <Company/>
  <LinksUpToDate>false</LinksUpToDate>
  <CharactersWithSpaces>27651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Law CLE - Adverse Possession (00369718;1).DOCX</dc:title>
  <dc:subject>00323191.DOCX /2 /Font=8</dc:subject>
  <dc:creator>Ashley McNair</dc:creator>
  <cp:keywords/>
  <dc:description>DO NOT STAMP </dc:description>
  <cp:lastModifiedBy>Front Desk</cp:lastModifiedBy>
  <cp:revision>11</cp:revision>
  <cp:lastPrinted>2017-05-26T19:23:00Z</cp:lastPrinted>
  <dcterms:created xsi:type="dcterms:W3CDTF">2017-05-15T14:35:00Z</dcterms:created>
  <dcterms:modified xsi:type="dcterms:W3CDTF">2020-12-28T15:58:00Z</dcterms:modified>
</cp:coreProperties>
</file>