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FA" w:rsidRPr="008420D0" w:rsidRDefault="00C83B50" w:rsidP="00C83B50">
      <w:pPr>
        <w:jc w:val="center"/>
        <w:rPr>
          <w:rFonts w:ascii="Times New Roman" w:hAnsi="Times New Roman" w:cs="Times New Roman"/>
          <w:b/>
          <w:sz w:val="24"/>
          <w:szCs w:val="24"/>
        </w:rPr>
      </w:pPr>
      <w:r w:rsidRPr="008420D0">
        <w:rPr>
          <w:rFonts w:ascii="Times New Roman" w:hAnsi="Times New Roman" w:cs="Times New Roman"/>
          <w:b/>
          <w:sz w:val="24"/>
          <w:szCs w:val="24"/>
        </w:rPr>
        <w:t>REPRESENTING BORROWERS</w:t>
      </w:r>
      <w:r w:rsidR="00C17524">
        <w:rPr>
          <w:rFonts w:ascii="Times New Roman" w:hAnsi="Times New Roman" w:cs="Times New Roman"/>
          <w:b/>
          <w:sz w:val="24"/>
          <w:szCs w:val="24"/>
        </w:rPr>
        <w:t xml:space="preserve"> IN FORECLOSURE ACTIONS</w:t>
      </w:r>
    </w:p>
    <w:p w:rsidR="00905AF1" w:rsidRPr="008420D0" w:rsidRDefault="00905AF1" w:rsidP="00905AF1">
      <w:pPr>
        <w:jc w:val="center"/>
        <w:rPr>
          <w:rFonts w:ascii="Times New Roman" w:hAnsi="Times New Roman" w:cs="Times New Roman"/>
          <w:b/>
          <w:sz w:val="24"/>
          <w:szCs w:val="24"/>
        </w:rPr>
      </w:pPr>
      <w:r w:rsidRPr="008420D0">
        <w:rPr>
          <w:rFonts w:ascii="Times New Roman" w:hAnsi="Times New Roman" w:cs="Times New Roman"/>
          <w:b/>
          <w:sz w:val="24"/>
          <w:szCs w:val="24"/>
        </w:rPr>
        <w:t>By: Stephen M. Parham</w:t>
      </w:r>
      <w:r w:rsidR="008420D0" w:rsidRPr="008420D0">
        <w:rPr>
          <w:rStyle w:val="FootnoteReference"/>
          <w:rFonts w:ascii="Times New Roman" w:hAnsi="Times New Roman" w:cs="Times New Roman"/>
          <w:b/>
          <w:sz w:val="24"/>
          <w:szCs w:val="24"/>
        </w:rPr>
        <w:footnoteReference w:id="1"/>
      </w:r>
    </w:p>
    <w:p w:rsidR="00C83B50" w:rsidRPr="008420D0" w:rsidRDefault="00C83B50" w:rsidP="00C83B50">
      <w:pPr>
        <w:jc w:val="center"/>
        <w:rPr>
          <w:rFonts w:ascii="Times New Roman" w:hAnsi="Times New Roman" w:cs="Times New Roman"/>
          <w:b/>
          <w:sz w:val="24"/>
          <w:szCs w:val="24"/>
        </w:rPr>
      </w:pPr>
      <w:r w:rsidRPr="008420D0">
        <w:rPr>
          <w:rFonts w:ascii="Times New Roman" w:hAnsi="Times New Roman" w:cs="Times New Roman"/>
          <w:b/>
          <w:sz w:val="24"/>
          <w:szCs w:val="24"/>
        </w:rPr>
        <w:t>BLOOM SUGARMAN, LLP</w:t>
      </w:r>
    </w:p>
    <w:p w:rsidR="00A807FA" w:rsidRPr="008420D0" w:rsidRDefault="00A807FA" w:rsidP="00A807FA">
      <w:pPr>
        <w:spacing w:after="0" w:line="480" w:lineRule="auto"/>
        <w:jc w:val="both"/>
        <w:rPr>
          <w:rFonts w:ascii="Times New Roman" w:hAnsi="Times New Roman" w:cs="Times New Roman"/>
          <w:sz w:val="24"/>
          <w:szCs w:val="24"/>
        </w:rPr>
      </w:pPr>
      <w:r w:rsidRPr="008420D0">
        <w:rPr>
          <w:rFonts w:ascii="Times New Roman" w:hAnsi="Times New Roman" w:cs="Times New Roman"/>
          <w:sz w:val="24"/>
          <w:szCs w:val="24"/>
        </w:rPr>
        <w:tab/>
        <w:t xml:space="preserve">The economic downturn </w:t>
      </w:r>
      <w:r w:rsidR="00C17524">
        <w:rPr>
          <w:rFonts w:ascii="Times New Roman" w:hAnsi="Times New Roman" w:cs="Times New Roman"/>
          <w:sz w:val="24"/>
          <w:szCs w:val="24"/>
        </w:rPr>
        <w:t xml:space="preserve">that gripped this nation in the mid 2000’s </w:t>
      </w:r>
      <w:r w:rsidRPr="008420D0">
        <w:rPr>
          <w:rFonts w:ascii="Times New Roman" w:hAnsi="Times New Roman" w:cs="Times New Roman"/>
          <w:sz w:val="24"/>
          <w:szCs w:val="24"/>
        </w:rPr>
        <w:t>created a flurry of litigation over defaulted loans and the collateral that secured them.  Many areas of the law that had been somewhat dormant for some years were suddenly brought to the forefront of trial calendars and appellate dockets.  This article examines issues that are prevalent in the representation of borrowers and guarantors against their lenders</w:t>
      </w:r>
      <w:r w:rsidR="00905AF1" w:rsidRPr="008420D0">
        <w:rPr>
          <w:rFonts w:ascii="Times New Roman" w:hAnsi="Times New Roman" w:cs="Times New Roman"/>
          <w:sz w:val="24"/>
          <w:szCs w:val="24"/>
        </w:rPr>
        <w:t xml:space="preserve"> in </w:t>
      </w:r>
      <w:r w:rsidRPr="008420D0">
        <w:rPr>
          <w:rFonts w:ascii="Times New Roman" w:hAnsi="Times New Roman" w:cs="Times New Roman"/>
          <w:sz w:val="24"/>
          <w:szCs w:val="24"/>
        </w:rPr>
        <w:t>the foreclosure and confirmation process</w:t>
      </w:r>
      <w:r w:rsidR="00905AF1" w:rsidRPr="008420D0">
        <w:rPr>
          <w:rFonts w:ascii="Times New Roman" w:hAnsi="Times New Roman" w:cs="Times New Roman"/>
          <w:sz w:val="24"/>
          <w:szCs w:val="24"/>
        </w:rPr>
        <w:t xml:space="preserve"> and</w:t>
      </w:r>
      <w:r w:rsidRPr="008420D0">
        <w:rPr>
          <w:rFonts w:ascii="Times New Roman" w:hAnsi="Times New Roman" w:cs="Times New Roman"/>
          <w:sz w:val="24"/>
          <w:szCs w:val="24"/>
        </w:rPr>
        <w:t xml:space="preserve"> suits on promissory notes and personal guaranties.  </w:t>
      </w:r>
    </w:p>
    <w:p w:rsidR="00C83B50" w:rsidRPr="008420D0" w:rsidRDefault="00C83B50" w:rsidP="00A807FA">
      <w:pPr>
        <w:spacing w:after="0" w:line="480" w:lineRule="auto"/>
        <w:rPr>
          <w:rFonts w:ascii="Times New Roman" w:hAnsi="Times New Roman" w:cs="Times New Roman"/>
          <w:b/>
          <w:sz w:val="24"/>
          <w:szCs w:val="24"/>
        </w:rPr>
      </w:pPr>
      <w:r w:rsidRPr="008420D0">
        <w:rPr>
          <w:rFonts w:ascii="Times New Roman" w:hAnsi="Times New Roman" w:cs="Times New Roman"/>
          <w:b/>
          <w:sz w:val="24"/>
          <w:szCs w:val="24"/>
        </w:rPr>
        <w:t>I.</w:t>
      </w:r>
      <w:r w:rsidRPr="008420D0">
        <w:rPr>
          <w:rFonts w:ascii="Times New Roman" w:hAnsi="Times New Roman" w:cs="Times New Roman"/>
          <w:b/>
          <w:sz w:val="24"/>
          <w:szCs w:val="24"/>
        </w:rPr>
        <w:tab/>
      </w:r>
      <w:r w:rsidR="00603843" w:rsidRPr="008420D0">
        <w:rPr>
          <w:rFonts w:ascii="Times New Roman" w:hAnsi="Times New Roman" w:cs="Times New Roman"/>
          <w:b/>
          <w:sz w:val="24"/>
          <w:szCs w:val="24"/>
        </w:rPr>
        <w:t>FORECLOSURE AND CONFIRMATION ACTIONS</w:t>
      </w:r>
    </w:p>
    <w:p w:rsidR="00C83B50" w:rsidRPr="008420D0" w:rsidRDefault="00C83B50" w:rsidP="00A807FA">
      <w:pPr>
        <w:keepNext/>
        <w:tabs>
          <w:tab w:val="left" w:pos="720"/>
        </w:tabs>
        <w:spacing w:after="0" w:line="480" w:lineRule="auto"/>
        <w:rPr>
          <w:rFonts w:ascii="Times New Roman" w:hAnsi="Times New Roman" w:cs="Times New Roman"/>
          <w:b/>
          <w:sz w:val="24"/>
          <w:szCs w:val="24"/>
        </w:rPr>
      </w:pPr>
      <w:r w:rsidRPr="008420D0">
        <w:rPr>
          <w:rFonts w:ascii="Times New Roman" w:hAnsi="Times New Roman" w:cs="Times New Roman"/>
          <w:b/>
          <w:sz w:val="24"/>
          <w:szCs w:val="24"/>
        </w:rPr>
        <w:tab/>
        <w:t>A.</w:t>
      </w:r>
      <w:r w:rsidRPr="008420D0">
        <w:rPr>
          <w:rFonts w:ascii="Times New Roman" w:hAnsi="Times New Roman" w:cs="Times New Roman"/>
          <w:b/>
          <w:sz w:val="24"/>
          <w:szCs w:val="24"/>
        </w:rPr>
        <w:tab/>
      </w:r>
      <w:r w:rsidRPr="008420D0">
        <w:rPr>
          <w:rFonts w:ascii="Times New Roman" w:hAnsi="Times New Roman" w:cs="Times New Roman"/>
          <w:b/>
          <w:sz w:val="24"/>
          <w:szCs w:val="24"/>
          <w:u w:val="single"/>
        </w:rPr>
        <w:t>The Foreclosure Process</w:t>
      </w:r>
    </w:p>
    <w:p w:rsidR="00C83B50" w:rsidRPr="008420D0" w:rsidRDefault="00C83B50" w:rsidP="00A807FA">
      <w:pPr>
        <w:keepNext/>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 xml:space="preserve">In Georgia, secured lenders can conduct non-judicial foreclosures if there is a power of sale provision in the security deed.  </w:t>
      </w:r>
      <w:r w:rsidR="00A807FA" w:rsidRPr="008420D0">
        <w:rPr>
          <w:rFonts w:ascii="Times New Roman" w:hAnsi="Times New Roman" w:cs="Times New Roman"/>
          <w:sz w:val="24"/>
          <w:szCs w:val="24"/>
        </w:rPr>
        <w:t>When a</w:t>
      </w:r>
      <w:r w:rsidRPr="008420D0">
        <w:rPr>
          <w:rFonts w:ascii="Times New Roman" w:hAnsi="Times New Roman" w:cs="Times New Roman"/>
          <w:sz w:val="24"/>
          <w:szCs w:val="24"/>
        </w:rPr>
        <w:t xml:space="preserve"> lender </w:t>
      </w:r>
      <w:r w:rsidR="00A807FA" w:rsidRPr="008420D0">
        <w:rPr>
          <w:rFonts w:ascii="Times New Roman" w:hAnsi="Times New Roman" w:cs="Times New Roman"/>
          <w:sz w:val="24"/>
          <w:szCs w:val="24"/>
        </w:rPr>
        <w:t xml:space="preserve">fails to </w:t>
      </w:r>
      <w:r w:rsidRPr="008420D0">
        <w:rPr>
          <w:rFonts w:ascii="Times New Roman" w:hAnsi="Times New Roman" w:cs="Times New Roman"/>
          <w:sz w:val="24"/>
          <w:szCs w:val="24"/>
        </w:rPr>
        <w:t xml:space="preserve">follow the requirements of the statute exactly, the borrower </w:t>
      </w:r>
      <w:r w:rsidR="00A807FA" w:rsidRPr="008420D0">
        <w:rPr>
          <w:rFonts w:ascii="Times New Roman" w:hAnsi="Times New Roman" w:cs="Times New Roman"/>
          <w:sz w:val="24"/>
          <w:szCs w:val="24"/>
        </w:rPr>
        <w:t xml:space="preserve">gains valuable defenses and leverage in the subsequent confirmation process (discussed in Section II, </w:t>
      </w:r>
      <w:r w:rsidR="00A807FA" w:rsidRPr="008420D0">
        <w:rPr>
          <w:rFonts w:ascii="Times New Roman" w:hAnsi="Times New Roman" w:cs="Times New Roman"/>
          <w:i/>
          <w:sz w:val="24"/>
          <w:szCs w:val="24"/>
        </w:rPr>
        <w:t>infra</w:t>
      </w:r>
      <w:r w:rsidR="00A807FA" w:rsidRPr="008420D0">
        <w:rPr>
          <w:rFonts w:ascii="Times New Roman" w:hAnsi="Times New Roman" w:cs="Times New Roman"/>
          <w:sz w:val="24"/>
          <w:szCs w:val="24"/>
        </w:rPr>
        <w:t>)</w:t>
      </w:r>
      <w:r w:rsidRPr="008420D0">
        <w:rPr>
          <w:rFonts w:ascii="Times New Roman" w:hAnsi="Times New Roman" w:cs="Times New Roman"/>
          <w:sz w:val="24"/>
          <w:szCs w:val="24"/>
        </w:rPr>
        <w:t xml:space="preserve">.  This section will discuss the foreclosure requirements, including notice, advertisement, and conduct of the sale; the lender’s duty when conducting the sale; and the borrower’s strategies to prevent or delay the sale.  </w:t>
      </w:r>
    </w:p>
    <w:p w:rsidR="00C83B50" w:rsidRPr="008420D0" w:rsidRDefault="00C83B50" w:rsidP="00A807FA">
      <w:pPr>
        <w:spacing w:after="0" w:line="480" w:lineRule="auto"/>
        <w:ind w:left="720" w:firstLine="720"/>
        <w:rPr>
          <w:rFonts w:ascii="Times New Roman" w:hAnsi="Times New Roman" w:cs="Times New Roman"/>
          <w:b/>
          <w:sz w:val="24"/>
          <w:szCs w:val="24"/>
        </w:rPr>
      </w:pPr>
      <w:r w:rsidRPr="008420D0">
        <w:rPr>
          <w:rFonts w:ascii="Times New Roman" w:hAnsi="Times New Roman" w:cs="Times New Roman"/>
          <w:b/>
          <w:sz w:val="24"/>
          <w:szCs w:val="24"/>
        </w:rPr>
        <w:t>1.</w:t>
      </w:r>
      <w:r w:rsidRPr="008420D0">
        <w:rPr>
          <w:rFonts w:ascii="Times New Roman" w:hAnsi="Times New Roman" w:cs="Times New Roman"/>
          <w:b/>
          <w:sz w:val="24"/>
          <w:szCs w:val="24"/>
        </w:rPr>
        <w:tab/>
        <w:t>Notice</w:t>
      </w:r>
    </w:p>
    <w:p w:rsidR="00C83B50" w:rsidRPr="008420D0" w:rsidRDefault="00C83B50" w:rsidP="00A807FA">
      <w:pPr>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 xml:space="preserve">Before starting the foreclosure process, the lender’s attorney </w:t>
      </w:r>
      <w:r w:rsidR="00A807FA" w:rsidRPr="008420D0">
        <w:rPr>
          <w:rFonts w:ascii="Times New Roman" w:hAnsi="Times New Roman" w:cs="Times New Roman"/>
          <w:sz w:val="24"/>
          <w:szCs w:val="24"/>
        </w:rPr>
        <w:t>must</w:t>
      </w:r>
      <w:r w:rsidRPr="008420D0">
        <w:rPr>
          <w:rFonts w:ascii="Times New Roman" w:hAnsi="Times New Roman" w:cs="Times New Roman"/>
          <w:sz w:val="24"/>
          <w:szCs w:val="24"/>
        </w:rPr>
        <w:t xml:space="preserve"> first review the promissory note and security deed’s default provisions to ensure that the borrower’s actions qualify as a default under the note and/or deed and whether the lender must provide notice and a cure period.  </w:t>
      </w:r>
      <w:r w:rsidR="00A807FA" w:rsidRPr="008420D0">
        <w:rPr>
          <w:rFonts w:ascii="Times New Roman" w:hAnsi="Times New Roman" w:cs="Times New Roman"/>
          <w:sz w:val="24"/>
          <w:szCs w:val="24"/>
        </w:rPr>
        <w:t xml:space="preserve">The lender must follow </w:t>
      </w:r>
      <w:r w:rsidRPr="008420D0">
        <w:rPr>
          <w:rFonts w:ascii="Times New Roman" w:hAnsi="Times New Roman" w:cs="Times New Roman"/>
          <w:sz w:val="24"/>
          <w:szCs w:val="24"/>
        </w:rPr>
        <w:t xml:space="preserve">all notice requirements provided for in the note and deed </w:t>
      </w:r>
      <w:r w:rsidRPr="008420D0">
        <w:rPr>
          <w:rFonts w:ascii="Times New Roman" w:hAnsi="Times New Roman" w:cs="Times New Roman"/>
          <w:sz w:val="24"/>
          <w:szCs w:val="24"/>
        </w:rPr>
        <w:lastRenderedPageBreak/>
        <w:t xml:space="preserve">strictly.  If the loan has not matured, the law may also require the lender to give the borrower notice that it is accelerating the note and calling the entire loan balance immediately due based on the borrower’s default.  Since most loan documents are drafted by the lender, notice requirements are almost always waived by the borrower.    </w:t>
      </w:r>
    </w:p>
    <w:p w:rsidR="00C83B50" w:rsidRPr="008420D0" w:rsidRDefault="00C83B50" w:rsidP="00A807FA">
      <w:pPr>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In addition to contractual notice provisions, some borrowers are also entitled to statutory notice.  Georgia law now requires the lender follow specific notice provisions, regardless of whether the property is to be used as a dwelling place.</w:t>
      </w:r>
      <w:r w:rsidRPr="008420D0">
        <w:rPr>
          <w:rStyle w:val="FootnoteReference"/>
          <w:rFonts w:ascii="Times New Roman" w:hAnsi="Times New Roman" w:cs="Times New Roman"/>
          <w:sz w:val="24"/>
          <w:szCs w:val="24"/>
        </w:rPr>
        <w:footnoteReference w:id="2"/>
      </w:r>
      <w:r w:rsidRPr="008420D0">
        <w:rPr>
          <w:rFonts w:ascii="Times New Roman" w:hAnsi="Times New Roman" w:cs="Times New Roman"/>
          <w:sz w:val="24"/>
          <w:szCs w:val="24"/>
        </w:rPr>
        <w:t xml:space="preserve">  Specifically, the lender must give the borrower notice thirty days before the proposed foreclosure sale.</w:t>
      </w:r>
      <w:r w:rsidRPr="008420D0">
        <w:rPr>
          <w:rStyle w:val="FootnoteReference"/>
          <w:rFonts w:ascii="Times New Roman" w:hAnsi="Times New Roman" w:cs="Times New Roman"/>
          <w:sz w:val="24"/>
          <w:szCs w:val="24"/>
        </w:rPr>
        <w:footnoteReference w:id="3"/>
      </w:r>
      <w:r w:rsidRPr="008420D0">
        <w:rPr>
          <w:rFonts w:ascii="Times New Roman" w:hAnsi="Times New Roman" w:cs="Times New Roman"/>
          <w:sz w:val="24"/>
          <w:szCs w:val="24"/>
        </w:rPr>
        <w:t xml:space="preserve">  The notice must be in writing, and include the name, address, and telephone number of any individual or entity who shall have full authority to negotiate, amend and modify the terms of the mortgage with the debtor.</w:t>
      </w:r>
      <w:r w:rsidRPr="008420D0">
        <w:rPr>
          <w:rStyle w:val="FootnoteReference"/>
          <w:rFonts w:ascii="Times New Roman" w:hAnsi="Times New Roman" w:cs="Times New Roman"/>
          <w:sz w:val="24"/>
          <w:szCs w:val="24"/>
        </w:rPr>
        <w:footnoteReference w:id="4"/>
      </w:r>
      <w:r w:rsidRPr="008420D0">
        <w:rPr>
          <w:rFonts w:ascii="Times New Roman" w:hAnsi="Times New Roman" w:cs="Times New Roman"/>
          <w:sz w:val="24"/>
          <w:szCs w:val="24"/>
        </w:rPr>
        <w:t xml:space="preserve">  The borrower must send the notice by registered or certified mail or statutory overnight delivery, return receipt requested to the property address or to another address he debtor designates in writing to the lender.</w:t>
      </w:r>
      <w:r w:rsidRPr="008420D0">
        <w:rPr>
          <w:rStyle w:val="FootnoteReference"/>
          <w:rFonts w:ascii="Times New Roman" w:hAnsi="Times New Roman" w:cs="Times New Roman"/>
          <w:sz w:val="24"/>
          <w:szCs w:val="24"/>
        </w:rPr>
        <w:footnoteReference w:id="5"/>
      </w:r>
      <w:r w:rsidRPr="008420D0">
        <w:rPr>
          <w:rFonts w:ascii="Times New Roman" w:hAnsi="Times New Roman" w:cs="Times New Roman"/>
          <w:sz w:val="24"/>
          <w:szCs w:val="24"/>
        </w:rPr>
        <w:t xml:space="preserve">  Georgia law, however, states that no waiver or release of these notice requirements is valid if made contemporaneously with the security instrument containing the power of non-judicial foreclosure sale.</w:t>
      </w:r>
      <w:r w:rsidRPr="008420D0">
        <w:rPr>
          <w:rStyle w:val="FootnoteReference"/>
          <w:rFonts w:ascii="Times New Roman" w:hAnsi="Times New Roman" w:cs="Times New Roman"/>
          <w:sz w:val="24"/>
          <w:szCs w:val="24"/>
        </w:rPr>
        <w:footnoteReference w:id="6"/>
      </w:r>
      <w:r w:rsidRPr="008420D0">
        <w:rPr>
          <w:rFonts w:ascii="Times New Roman" w:hAnsi="Times New Roman" w:cs="Times New Roman"/>
          <w:sz w:val="24"/>
          <w:szCs w:val="24"/>
        </w:rPr>
        <w:t xml:space="preserve">  </w:t>
      </w:r>
    </w:p>
    <w:p w:rsidR="00C83B50" w:rsidRPr="008420D0" w:rsidRDefault="00C83B50" w:rsidP="00A807FA">
      <w:pPr>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Regardless whether required by the loan documents or Section 16</w:t>
      </w:r>
      <w:r w:rsidR="00A807FA" w:rsidRPr="008420D0">
        <w:rPr>
          <w:rFonts w:ascii="Times New Roman" w:hAnsi="Times New Roman" w:cs="Times New Roman"/>
          <w:sz w:val="24"/>
          <w:szCs w:val="24"/>
        </w:rPr>
        <w:t>2, most lenders send “t</w:t>
      </w:r>
      <w:r w:rsidRPr="008420D0">
        <w:rPr>
          <w:rFonts w:ascii="Times New Roman" w:hAnsi="Times New Roman" w:cs="Times New Roman"/>
          <w:sz w:val="24"/>
          <w:szCs w:val="24"/>
        </w:rPr>
        <w:t>en-day letters” to borrowers and guarantors in default in order to perfect its ten (10) day notice for attorneys’ fees under Georgia law.  O.C.G.A. § 13-1-11 states in relevant part:</w:t>
      </w:r>
    </w:p>
    <w:p w:rsidR="00C83B50" w:rsidRPr="008420D0" w:rsidRDefault="00C83B50" w:rsidP="008F52C7">
      <w:pPr>
        <w:ind w:left="1440" w:right="1440"/>
        <w:jc w:val="both"/>
        <w:rPr>
          <w:rFonts w:ascii="Times New Roman" w:hAnsi="Times New Roman" w:cs="Times New Roman"/>
          <w:sz w:val="24"/>
          <w:szCs w:val="24"/>
        </w:rPr>
      </w:pPr>
      <w:r w:rsidRPr="008420D0">
        <w:rPr>
          <w:rFonts w:ascii="Times New Roman" w:hAnsi="Times New Roman" w:cs="Times New Roman"/>
          <w:sz w:val="24"/>
          <w:szCs w:val="24"/>
        </w:rPr>
        <w:t xml:space="preserve">The holder of the note or other evidence of indebtedness or his attorney at law shall, after maturity of the obligation, notify in writing the maker, endorser, or party sought to be held on said obligation that the provisions relative to payment of attorney's fees </w:t>
      </w:r>
      <w:r w:rsidRPr="008420D0">
        <w:rPr>
          <w:rFonts w:ascii="Times New Roman" w:hAnsi="Times New Roman" w:cs="Times New Roman"/>
          <w:sz w:val="24"/>
          <w:szCs w:val="24"/>
        </w:rPr>
        <w:lastRenderedPageBreak/>
        <w:t>in addition to the principal and interest shall be enforced and that such maker, endorser, or party sought to be held on said obligation has ten days from the receipt of such notice to pay the principal and interest without the attorney's fees. If the maker, endorser, or party sought to be held on any such obligation shall pay the principal and interest in full before the expiration of such time, then the obligation to pay the attorney's fees shall be void and no court shall enforce the agreement. The refusal of a debtor to accept delivery of the notice specified in this paragraph shall be the equivalent of such notice.</w:t>
      </w:r>
    </w:p>
    <w:p w:rsidR="00C83B50" w:rsidRPr="008420D0" w:rsidRDefault="008F52C7" w:rsidP="00A807FA">
      <w:pPr>
        <w:spacing w:after="0" w:line="480" w:lineRule="auto"/>
        <w:jc w:val="both"/>
        <w:rPr>
          <w:rFonts w:ascii="Times New Roman" w:hAnsi="Times New Roman" w:cs="Times New Roman"/>
          <w:sz w:val="24"/>
          <w:szCs w:val="24"/>
        </w:rPr>
      </w:pPr>
      <w:r w:rsidRPr="008420D0">
        <w:rPr>
          <w:rFonts w:ascii="Times New Roman" w:hAnsi="Times New Roman" w:cs="Times New Roman"/>
          <w:sz w:val="24"/>
          <w:szCs w:val="24"/>
        </w:rPr>
        <w:t>A lender’s failure to comply with these notice requirements can raise valuable defenses for the borrower</w:t>
      </w:r>
      <w:r w:rsidR="00C83B50" w:rsidRPr="008420D0">
        <w:rPr>
          <w:rFonts w:ascii="Times New Roman" w:hAnsi="Times New Roman" w:cs="Times New Roman"/>
          <w:sz w:val="24"/>
          <w:szCs w:val="24"/>
        </w:rPr>
        <w:t>.</w:t>
      </w:r>
    </w:p>
    <w:p w:rsidR="00C83B50" w:rsidRPr="008420D0" w:rsidRDefault="00C83B50" w:rsidP="00A807FA">
      <w:pPr>
        <w:spacing w:after="0" w:line="480" w:lineRule="auto"/>
        <w:ind w:left="1440"/>
        <w:rPr>
          <w:rFonts w:ascii="Times New Roman" w:hAnsi="Times New Roman" w:cs="Times New Roman"/>
          <w:b/>
          <w:sz w:val="24"/>
          <w:szCs w:val="24"/>
        </w:rPr>
      </w:pPr>
      <w:r w:rsidRPr="008420D0">
        <w:rPr>
          <w:rFonts w:ascii="Times New Roman" w:hAnsi="Times New Roman" w:cs="Times New Roman"/>
          <w:b/>
          <w:sz w:val="24"/>
          <w:szCs w:val="24"/>
        </w:rPr>
        <w:t xml:space="preserve">2. </w:t>
      </w:r>
      <w:r w:rsidRPr="008420D0">
        <w:rPr>
          <w:rFonts w:ascii="Times New Roman" w:hAnsi="Times New Roman" w:cs="Times New Roman"/>
          <w:b/>
          <w:sz w:val="24"/>
          <w:szCs w:val="24"/>
        </w:rPr>
        <w:tab/>
        <w:t>Advertisement</w:t>
      </w:r>
    </w:p>
    <w:p w:rsidR="00C83B50" w:rsidRPr="008420D0" w:rsidRDefault="00C83B50" w:rsidP="00A807FA">
      <w:pPr>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 xml:space="preserve">The lender must properly advertise the </w:t>
      </w:r>
      <w:r w:rsidR="008F52C7" w:rsidRPr="008420D0">
        <w:rPr>
          <w:rFonts w:ascii="Times New Roman" w:hAnsi="Times New Roman" w:cs="Times New Roman"/>
          <w:sz w:val="24"/>
          <w:szCs w:val="24"/>
        </w:rPr>
        <w:t xml:space="preserve">foreclosure </w:t>
      </w:r>
      <w:r w:rsidRPr="008420D0">
        <w:rPr>
          <w:rFonts w:ascii="Times New Roman" w:hAnsi="Times New Roman" w:cs="Times New Roman"/>
          <w:sz w:val="24"/>
          <w:szCs w:val="24"/>
        </w:rPr>
        <w:t xml:space="preserve">sale once a week for a period of four (4) weeks immediately preceding the date of </w:t>
      </w:r>
      <w:r w:rsidR="00A807FA" w:rsidRPr="008420D0">
        <w:rPr>
          <w:rFonts w:ascii="Times New Roman" w:hAnsi="Times New Roman" w:cs="Times New Roman"/>
          <w:sz w:val="24"/>
          <w:szCs w:val="24"/>
        </w:rPr>
        <w:t xml:space="preserve">the </w:t>
      </w:r>
      <w:r w:rsidRPr="008420D0">
        <w:rPr>
          <w:rFonts w:ascii="Times New Roman" w:hAnsi="Times New Roman" w:cs="Times New Roman"/>
          <w:sz w:val="24"/>
          <w:szCs w:val="24"/>
        </w:rPr>
        <w:t>sale</w:t>
      </w:r>
      <w:r w:rsidR="008F52C7" w:rsidRPr="008420D0">
        <w:rPr>
          <w:rFonts w:ascii="Times New Roman" w:hAnsi="Times New Roman" w:cs="Times New Roman"/>
          <w:sz w:val="24"/>
          <w:szCs w:val="24"/>
        </w:rPr>
        <w:t xml:space="preserve"> in the legal organ of the county where the property is located</w:t>
      </w:r>
      <w:r w:rsidRPr="008420D0">
        <w:rPr>
          <w:rFonts w:ascii="Times New Roman" w:hAnsi="Times New Roman" w:cs="Times New Roman"/>
          <w:sz w:val="24"/>
          <w:szCs w:val="24"/>
        </w:rPr>
        <w:t>.</w:t>
      </w:r>
      <w:r w:rsidRPr="008420D0">
        <w:rPr>
          <w:rStyle w:val="FootnoteReference"/>
          <w:rFonts w:ascii="Times New Roman" w:hAnsi="Times New Roman" w:cs="Times New Roman"/>
          <w:sz w:val="24"/>
          <w:szCs w:val="24"/>
        </w:rPr>
        <w:footnoteReference w:id="7"/>
      </w:r>
      <w:r w:rsidRPr="008420D0">
        <w:rPr>
          <w:rFonts w:ascii="Times New Roman" w:hAnsi="Times New Roman" w:cs="Times New Roman"/>
          <w:sz w:val="24"/>
          <w:szCs w:val="24"/>
        </w:rPr>
        <w:t xml:space="preserve">  </w:t>
      </w:r>
      <w:r w:rsidR="008F52C7" w:rsidRPr="008420D0">
        <w:rPr>
          <w:rFonts w:ascii="Times New Roman" w:hAnsi="Times New Roman" w:cs="Times New Roman"/>
          <w:sz w:val="24"/>
          <w:szCs w:val="24"/>
        </w:rPr>
        <w:t>I</w:t>
      </w:r>
      <w:r w:rsidRPr="008420D0">
        <w:rPr>
          <w:rFonts w:ascii="Times New Roman" w:hAnsi="Times New Roman" w:cs="Times New Roman"/>
          <w:sz w:val="24"/>
          <w:szCs w:val="24"/>
        </w:rPr>
        <w:t xml:space="preserve">f there is no newspaper so designated, </w:t>
      </w:r>
      <w:r w:rsidR="008F52C7" w:rsidRPr="008420D0">
        <w:rPr>
          <w:rFonts w:ascii="Times New Roman" w:hAnsi="Times New Roman" w:cs="Times New Roman"/>
          <w:sz w:val="24"/>
          <w:szCs w:val="24"/>
        </w:rPr>
        <w:t xml:space="preserve">the advertisement must be published </w:t>
      </w:r>
      <w:r w:rsidRPr="008420D0">
        <w:rPr>
          <w:rFonts w:ascii="Times New Roman" w:hAnsi="Times New Roman" w:cs="Times New Roman"/>
          <w:sz w:val="24"/>
          <w:szCs w:val="24"/>
        </w:rPr>
        <w:t xml:space="preserve">in the nearest newspaper having the largest general circulation in </w:t>
      </w:r>
      <w:r w:rsidR="00A807FA" w:rsidRPr="008420D0">
        <w:rPr>
          <w:rFonts w:ascii="Times New Roman" w:hAnsi="Times New Roman" w:cs="Times New Roman"/>
          <w:sz w:val="24"/>
          <w:szCs w:val="24"/>
        </w:rPr>
        <w:t>the</w:t>
      </w:r>
      <w:r w:rsidRPr="008420D0">
        <w:rPr>
          <w:rFonts w:ascii="Times New Roman" w:hAnsi="Times New Roman" w:cs="Times New Roman"/>
          <w:sz w:val="24"/>
          <w:szCs w:val="24"/>
        </w:rPr>
        <w:t xml:space="preserve"> county.</w:t>
      </w:r>
      <w:r w:rsidRPr="008420D0">
        <w:rPr>
          <w:rStyle w:val="FootnoteReference"/>
          <w:rFonts w:ascii="Times New Roman" w:hAnsi="Times New Roman" w:cs="Times New Roman"/>
          <w:sz w:val="24"/>
          <w:szCs w:val="24"/>
        </w:rPr>
        <w:footnoteReference w:id="8"/>
      </w:r>
      <w:r w:rsidRPr="008420D0">
        <w:rPr>
          <w:rFonts w:ascii="Times New Roman" w:hAnsi="Times New Roman" w:cs="Times New Roman"/>
          <w:sz w:val="24"/>
          <w:szCs w:val="24"/>
        </w:rPr>
        <w:t xml:space="preserve">  The advertisement must give a full and complete description of the property being sold (including the property’s legal description) and provide the names of any persons who may be in possession of the property.</w:t>
      </w:r>
      <w:r w:rsidRPr="008420D0">
        <w:rPr>
          <w:rStyle w:val="FootnoteReference"/>
          <w:rFonts w:ascii="Times New Roman" w:hAnsi="Times New Roman" w:cs="Times New Roman"/>
          <w:sz w:val="24"/>
          <w:szCs w:val="24"/>
        </w:rPr>
        <w:footnoteReference w:id="9"/>
      </w:r>
      <w:r w:rsidRPr="008420D0">
        <w:rPr>
          <w:rFonts w:ascii="Times New Roman" w:hAnsi="Times New Roman" w:cs="Times New Roman"/>
          <w:sz w:val="24"/>
          <w:szCs w:val="24"/>
        </w:rPr>
        <w:t xml:space="preserve">  If the advertisement contains the property’s street address, the street address, city and zip code must be clearly set out in bold type.</w:t>
      </w:r>
      <w:r w:rsidRPr="008420D0">
        <w:rPr>
          <w:rStyle w:val="FootnoteReference"/>
          <w:rFonts w:ascii="Times New Roman" w:hAnsi="Times New Roman" w:cs="Times New Roman"/>
          <w:sz w:val="24"/>
          <w:szCs w:val="24"/>
        </w:rPr>
        <w:footnoteReference w:id="10"/>
      </w:r>
      <w:r w:rsidRPr="008420D0">
        <w:rPr>
          <w:rFonts w:ascii="Times New Roman" w:hAnsi="Times New Roman" w:cs="Times New Roman"/>
          <w:sz w:val="24"/>
          <w:szCs w:val="24"/>
        </w:rPr>
        <w:t xml:space="preserve">  </w:t>
      </w:r>
    </w:p>
    <w:p w:rsidR="00C83B50" w:rsidRPr="008420D0" w:rsidRDefault="00C83B50" w:rsidP="00A807FA">
      <w:pPr>
        <w:spacing w:after="0" w:line="480" w:lineRule="auto"/>
        <w:ind w:left="720" w:firstLine="720"/>
        <w:jc w:val="both"/>
        <w:rPr>
          <w:rFonts w:ascii="Times New Roman" w:hAnsi="Times New Roman" w:cs="Times New Roman"/>
          <w:b/>
          <w:sz w:val="24"/>
          <w:szCs w:val="24"/>
        </w:rPr>
      </w:pPr>
      <w:r w:rsidRPr="008420D0">
        <w:rPr>
          <w:rFonts w:ascii="Times New Roman" w:hAnsi="Times New Roman" w:cs="Times New Roman"/>
          <w:b/>
          <w:sz w:val="24"/>
          <w:szCs w:val="24"/>
        </w:rPr>
        <w:t xml:space="preserve">3. </w:t>
      </w:r>
      <w:r w:rsidRPr="008420D0">
        <w:rPr>
          <w:rFonts w:ascii="Times New Roman" w:hAnsi="Times New Roman" w:cs="Times New Roman"/>
          <w:b/>
          <w:sz w:val="24"/>
          <w:szCs w:val="24"/>
        </w:rPr>
        <w:tab/>
        <w:t>The Sale</w:t>
      </w:r>
    </w:p>
    <w:p w:rsidR="00C83B50" w:rsidRPr="008420D0" w:rsidRDefault="00C83B50" w:rsidP="00A807FA">
      <w:pPr>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 xml:space="preserve">The lender must conduct the </w:t>
      </w:r>
      <w:r w:rsidR="008F52C7" w:rsidRPr="008420D0">
        <w:rPr>
          <w:rFonts w:ascii="Times New Roman" w:hAnsi="Times New Roman" w:cs="Times New Roman"/>
          <w:sz w:val="24"/>
          <w:szCs w:val="24"/>
        </w:rPr>
        <w:t xml:space="preserve">foreclosure </w:t>
      </w:r>
      <w:r w:rsidRPr="008420D0">
        <w:rPr>
          <w:rFonts w:ascii="Times New Roman" w:hAnsi="Times New Roman" w:cs="Times New Roman"/>
          <w:sz w:val="24"/>
          <w:szCs w:val="24"/>
        </w:rPr>
        <w:t>sale on the date, time and place which is required of sheriff’s sales.</w:t>
      </w:r>
      <w:r w:rsidRPr="008420D0">
        <w:rPr>
          <w:rStyle w:val="FootnoteReference"/>
          <w:rFonts w:ascii="Times New Roman" w:hAnsi="Times New Roman" w:cs="Times New Roman"/>
          <w:sz w:val="24"/>
          <w:szCs w:val="24"/>
        </w:rPr>
        <w:footnoteReference w:id="11"/>
      </w:r>
      <w:r w:rsidRPr="008420D0">
        <w:rPr>
          <w:rFonts w:ascii="Times New Roman" w:hAnsi="Times New Roman" w:cs="Times New Roman"/>
          <w:sz w:val="24"/>
          <w:szCs w:val="24"/>
        </w:rPr>
        <w:t xml:space="preserve">  This means that </w:t>
      </w:r>
      <w:r w:rsidR="008F52C7" w:rsidRPr="008420D0">
        <w:rPr>
          <w:rFonts w:ascii="Times New Roman" w:hAnsi="Times New Roman" w:cs="Times New Roman"/>
          <w:sz w:val="24"/>
          <w:szCs w:val="24"/>
        </w:rPr>
        <w:t xml:space="preserve">foreclosure </w:t>
      </w:r>
      <w:r w:rsidRPr="008420D0">
        <w:rPr>
          <w:rFonts w:ascii="Times New Roman" w:hAnsi="Times New Roman" w:cs="Times New Roman"/>
          <w:sz w:val="24"/>
          <w:szCs w:val="24"/>
        </w:rPr>
        <w:t xml:space="preserve">sales must occur on the first Tuesday of </w:t>
      </w:r>
      <w:r w:rsidRPr="008420D0">
        <w:rPr>
          <w:rFonts w:ascii="Times New Roman" w:hAnsi="Times New Roman" w:cs="Times New Roman"/>
          <w:sz w:val="24"/>
          <w:szCs w:val="24"/>
        </w:rPr>
        <w:lastRenderedPageBreak/>
        <w:t>the month, between the hours of 10:00 A.M. and 4:00 P.M. local time.</w:t>
      </w:r>
      <w:r w:rsidRPr="008420D0">
        <w:rPr>
          <w:rStyle w:val="FootnoteReference"/>
          <w:rFonts w:ascii="Times New Roman" w:hAnsi="Times New Roman" w:cs="Times New Roman"/>
          <w:sz w:val="24"/>
          <w:szCs w:val="24"/>
        </w:rPr>
        <w:footnoteReference w:id="12"/>
      </w:r>
      <w:r w:rsidRPr="008420D0">
        <w:rPr>
          <w:rFonts w:ascii="Times New Roman" w:hAnsi="Times New Roman" w:cs="Times New Roman"/>
          <w:sz w:val="24"/>
          <w:szCs w:val="24"/>
        </w:rPr>
        <w:t xml:space="preserve">  If the first Tuesday falls on New Year’s Day or on Independence Day, the sale takes place on the immediately following Wednesday.</w:t>
      </w:r>
      <w:r w:rsidRPr="008420D0">
        <w:rPr>
          <w:rStyle w:val="FootnoteReference"/>
          <w:rFonts w:ascii="Times New Roman" w:hAnsi="Times New Roman" w:cs="Times New Roman"/>
          <w:sz w:val="24"/>
          <w:szCs w:val="24"/>
        </w:rPr>
        <w:footnoteReference w:id="13"/>
      </w:r>
      <w:r w:rsidRPr="008420D0">
        <w:rPr>
          <w:rFonts w:ascii="Times New Roman" w:hAnsi="Times New Roman" w:cs="Times New Roman"/>
          <w:sz w:val="24"/>
          <w:szCs w:val="24"/>
        </w:rPr>
        <w:t xml:space="preserve">  The sale takes place on the steps of the county courthouse where the property is located.</w:t>
      </w:r>
      <w:r w:rsidRPr="008420D0">
        <w:rPr>
          <w:rStyle w:val="FootnoteReference"/>
          <w:rFonts w:ascii="Times New Roman" w:hAnsi="Times New Roman" w:cs="Times New Roman"/>
          <w:sz w:val="24"/>
          <w:szCs w:val="24"/>
        </w:rPr>
        <w:footnoteReference w:id="14"/>
      </w:r>
      <w:r w:rsidRPr="008420D0">
        <w:rPr>
          <w:rFonts w:ascii="Times New Roman" w:hAnsi="Times New Roman" w:cs="Times New Roman"/>
          <w:sz w:val="24"/>
          <w:szCs w:val="24"/>
        </w:rPr>
        <w:t xml:space="preserve">        </w:t>
      </w:r>
    </w:p>
    <w:p w:rsidR="00C83B50" w:rsidRPr="008420D0" w:rsidRDefault="00C83B50" w:rsidP="00A807FA">
      <w:pPr>
        <w:keepNext/>
        <w:spacing w:after="0" w:line="480" w:lineRule="auto"/>
        <w:ind w:left="720" w:firstLine="720"/>
        <w:rPr>
          <w:rFonts w:ascii="Times New Roman" w:hAnsi="Times New Roman" w:cs="Times New Roman"/>
          <w:b/>
          <w:sz w:val="24"/>
          <w:szCs w:val="24"/>
        </w:rPr>
      </w:pPr>
      <w:r w:rsidRPr="008420D0">
        <w:rPr>
          <w:rFonts w:ascii="Times New Roman" w:hAnsi="Times New Roman" w:cs="Times New Roman"/>
          <w:b/>
          <w:sz w:val="24"/>
          <w:szCs w:val="24"/>
        </w:rPr>
        <w:t xml:space="preserve">4. </w:t>
      </w:r>
      <w:r w:rsidRPr="008420D0">
        <w:rPr>
          <w:rFonts w:ascii="Times New Roman" w:hAnsi="Times New Roman" w:cs="Times New Roman"/>
          <w:b/>
          <w:sz w:val="24"/>
          <w:szCs w:val="24"/>
        </w:rPr>
        <w:tab/>
        <w:t>The Lender’s Duty During the Sale.</w:t>
      </w:r>
    </w:p>
    <w:p w:rsidR="00C83B50" w:rsidRPr="008420D0" w:rsidRDefault="00C83B50" w:rsidP="00A807FA">
      <w:pPr>
        <w:keepNext/>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Generally, courts have held that the lender has a duty to conduct the foreclosure sale fairly.  “It is our opinion that when a power of sale is exercised ‘(a)ll that is required of (the foreclosing party) is to advertise and sell the property according to the terms of the instrument, and that the sale be conducted in good faith.’”</w:t>
      </w:r>
      <w:r w:rsidRPr="008420D0">
        <w:rPr>
          <w:rStyle w:val="FootnoteReference"/>
          <w:rFonts w:ascii="Times New Roman" w:hAnsi="Times New Roman" w:cs="Times New Roman"/>
          <w:sz w:val="24"/>
          <w:szCs w:val="24"/>
        </w:rPr>
        <w:footnoteReference w:id="15"/>
      </w:r>
      <w:r w:rsidR="008F52C7" w:rsidRPr="008420D0">
        <w:rPr>
          <w:rFonts w:ascii="Times New Roman" w:hAnsi="Times New Roman" w:cs="Times New Roman"/>
          <w:sz w:val="24"/>
          <w:szCs w:val="24"/>
        </w:rPr>
        <w:t xml:space="preserve">  The person calling out the sale should not do anything that chills the bidding process.</w:t>
      </w:r>
      <w:r w:rsidR="008F52C7" w:rsidRPr="008420D0">
        <w:rPr>
          <w:rStyle w:val="FootnoteReference"/>
          <w:rFonts w:ascii="Times New Roman" w:hAnsi="Times New Roman" w:cs="Times New Roman"/>
          <w:sz w:val="24"/>
          <w:szCs w:val="24"/>
        </w:rPr>
        <w:footnoteReference w:id="16"/>
      </w:r>
      <w:r w:rsidRPr="008420D0">
        <w:rPr>
          <w:rFonts w:ascii="Times New Roman" w:hAnsi="Times New Roman" w:cs="Times New Roman"/>
          <w:sz w:val="24"/>
          <w:szCs w:val="24"/>
        </w:rPr>
        <w:t xml:space="preserve"> </w:t>
      </w:r>
    </w:p>
    <w:p w:rsidR="00C83B50" w:rsidRPr="008420D0" w:rsidRDefault="00C83B50" w:rsidP="00A807FA">
      <w:pPr>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 xml:space="preserve">The lender’s duty of good faith, however, does not require the lender sell the property for its highest market value unless the lender intends to confirm the sale.  In </w:t>
      </w:r>
      <w:r w:rsidRPr="008420D0">
        <w:rPr>
          <w:rFonts w:ascii="Times New Roman" w:hAnsi="Times New Roman" w:cs="Times New Roman"/>
          <w:sz w:val="24"/>
          <w:szCs w:val="24"/>
          <w:u w:val="single"/>
        </w:rPr>
        <w:t>Kennedy v. Gwinnett Commercial Bank</w:t>
      </w:r>
      <w:r w:rsidRPr="008420D0">
        <w:rPr>
          <w:rFonts w:ascii="Times New Roman" w:hAnsi="Times New Roman" w:cs="Times New Roman"/>
          <w:sz w:val="24"/>
          <w:szCs w:val="24"/>
        </w:rPr>
        <w:t>,</w:t>
      </w:r>
      <w:r w:rsidRPr="008420D0">
        <w:rPr>
          <w:rStyle w:val="FootnoteReference"/>
          <w:rFonts w:ascii="Times New Roman" w:hAnsi="Times New Roman" w:cs="Times New Roman"/>
          <w:sz w:val="24"/>
          <w:szCs w:val="24"/>
        </w:rPr>
        <w:footnoteReference w:id="17"/>
      </w:r>
      <w:r w:rsidRPr="008420D0">
        <w:rPr>
          <w:rFonts w:ascii="Times New Roman" w:hAnsi="Times New Roman" w:cs="Times New Roman"/>
          <w:sz w:val="24"/>
          <w:szCs w:val="24"/>
        </w:rPr>
        <w:t xml:space="preserve"> the Georgia Court of appeals held that the lender does not have a fiduciary duty when conducting a foreclosure sale.  The </w:t>
      </w:r>
      <w:r w:rsidRPr="008420D0">
        <w:rPr>
          <w:rFonts w:ascii="Times New Roman" w:hAnsi="Times New Roman" w:cs="Times New Roman"/>
          <w:sz w:val="24"/>
          <w:szCs w:val="24"/>
          <w:u w:val="single"/>
        </w:rPr>
        <w:t>Kennedy</w:t>
      </w:r>
      <w:r w:rsidRPr="008420D0">
        <w:rPr>
          <w:rFonts w:ascii="Times New Roman" w:hAnsi="Times New Roman" w:cs="Times New Roman"/>
          <w:sz w:val="24"/>
          <w:szCs w:val="24"/>
        </w:rPr>
        <w:t xml:space="preserve"> court explained that the power of sale in a security deed gives the lender the remedy to collect its debt in a summary way and does not create a fiduciary relationship between the lender and borrower.  The court explained:</w:t>
      </w:r>
    </w:p>
    <w:p w:rsidR="00C83B50" w:rsidRPr="008420D0" w:rsidRDefault="00C83B50" w:rsidP="008F52C7">
      <w:pPr>
        <w:ind w:left="720" w:right="720"/>
        <w:jc w:val="both"/>
        <w:rPr>
          <w:rFonts w:ascii="Times New Roman" w:hAnsi="Times New Roman" w:cs="Times New Roman"/>
          <w:sz w:val="24"/>
          <w:szCs w:val="24"/>
        </w:rPr>
      </w:pPr>
      <w:r w:rsidRPr="008420D0">
        <w:rPr>
          <w:rFonts w:ascii="Times New Roman" w:hAnsi="Times New Roman" w:cs="Times New Roman"/>
          <w:sz w:val="24"/>
          <w:szCs w:val="24"/>
        </w:rPr>
        <w:t xml:space="preserve">In determining whether this </w:t>
      </w:r>
      <w:bookmarkStart w:id="1" w:name="sp_360_331"/>
      <w:bookmarkStart w:id="2" w:name="SDU_331"/>
      <w:bookmarkEnd w:id="1"/>
      <w:bookmarkEnd w:id="2"/>
      <w:r w:rsidRPr="008420D0">
        <w:rPr>
          <w:rFonts w:ascii="Times New Roman" w:hAnsi="Times New Roman" w:cs="Times New Roman"/>
          <w:sz w:val="24"/>
          <w:szCs w:val="24"/>
        </w:rPr>
        <w:t xml:space="preserve">duty under a power of sale has been breached the focus is on the manner in which the sale was conducted and not solely on the result of the sale. The foreclosing party is not an insurer of the results of his exercise of the power of sale; his only obligation is to sell according to the terms of the deed and in good faith and to obtain the amount produced by such a sale. If </w:t>
      </w:r>
      <w:r w:rsidRPr="008420D0">
        <w:rPr>
          <w:rFonts w:ascii="Times New Roman" w:hAnsi="Times New Roman" w:cs="Times New Roman"/>
          <w:sz w:val="24"/>
          <w:szCs w:val="24"/>
        </w:rPr>
        <w:lastRenderedPageBreak/>
        <w:t>the manner in which the sale was conducted is otherwise unobjectionable, the mere fact that, in the debtor's opinion, it brought an inadequate price does not demonstrate that the power was exercised other than in good faith. It is only when the sale is conducted in such a manner and under such “circumstances” as to result in a grossly inadequate price that the foreclosing party has breached his duty to the debtor.</w:t>
      </w:r>
      <w:r w:rsidRPr="008420D0">
        <w:rPr>
          <w:rStyle w:val="FootnoteReference"/>
          <w:rFonts w:ascii="Times New Roman" w:hAnsi="Times New Roman" w:cs="Times New Roman"/>
          <w:sz w:val="24"/>
          <w:szCs w:val="24"/>
        </w:rPr>
        <w:footnoteReference w:id="18"/>
      </w:r>
    </w:p>
    <w:p w:rsidR="00C83B50" w:rsidRPr="008420D0" w:rsidRDefault="00C83B50" w:rsidP="00A807FA">
      <w:pPr>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 xml:space="preserve">A lender can be liable, however, if the sale is conducted unfairly.  In </w:t>
      </w:r>
      <w:r w:rsidRPr="008420D0">
        <w:rPr>
          <w:rFonts w:ascii="Times New Roman" w:hAnsi="Times New Roman" w:cs="Times New Roman"/>
          <w:sz w:val="24"/>
          <w:szCs w:val="24"/>
          <w:u w:val="single"/>
        </w:rPr>
        <w:t>Kennedy</w:t>
      </w:r>
      <w:r w:rsidRPr="008420D0">
        <w:rPr>
          <w:rFonts w:ascii="Times New Roman" w:hAnsi="Times New Roman" w:cs="Times New Roman"/>
          <w:sz w:val="24"/>
          <w:szCs w:val="24"/>
        </w:rPr>
        <w:t>, the court explained when a lender can be liable: “[w]e reiterate that ‘(i)t is only when the price realized is grossly inadequate and the sale is accompanied by either fraud, mistake, misapprehension, surprise or other circumstances which might authorize a finding that such circumstances contributed to bringing about the inadequacy of price that the foreclosing party has breached his duty under the power of sale.</w:t>
      </w:r>
      <w:r w:rsidRPr="008420D0">
        <w:rPr>
          <w:rStyle w:val="FootnoteReference"/>
          <w:rFonts w:ascii="Times New Roman" w:hAnsi="Times New Roman" w:cs="Times New Roman"/>
          <w:sz w:val="24"/>
          <w:szCs w:val="24"/>
        </w:rPr>
        <w:footnoteReference w:id="19"/>
      </w:r>
      <w:r w:rsidRPr="008420D0">
        <w:rPr>
          <w:rFonts w:ascii="Times New Roman" w:hAnsi="Times New Roman" w:cs="Times New Roman"/>
          <w:sz w:val="24"/>
          <w:szCs w:val="24"/>
        </w:rPr>
        <w:t xml:space="preserve">  </w:t>
      </w:r>
    </w:p>
    <w:p w:rsidR="00C83B50" w:rsidRPr="008420D0" w:rsidRDefault="00C83B50" w:rsidP="00A807FA">
      <w:pPr>
        <w:spacing w:after="0" w:line="480" w:lineRule="auto"/>
        <w:ind w:left="720" w:firstLine="720"/>
        <w:rPr>
          <w:rFonts w:ascii="Times New Roman" w:hAnsi="Times New Roman" w:cs="Times New Roman"/>
          <w:b/>
          <w:sz w:val="24"/>
          <w:szCs w:val="24"/>
        </w:rPr>
      </w:pPr>
      <w:r w:rsidRPr="008420D0">
        <w:rPr>
          <w:rFonts w:ascii="Times New Roman" w:hAnsi="Times New Roman" w:cs="Times New Roman"/>
          <w:b/>
          <w:sz w:val="24"/>
          <w:szCs w:val="24"/>
        </w:rPr>
        <w:t xml:space="preserve">5. </w:t>
      </w:r>
      <w:r w:rsidRPr="008420D0">
        <w:rPr>
          <w:rFonts w:ascii="Times New Roman" w:hAnsi="Times New Roman" w:cs="Times New Roman"/>
          <w:b/>
          <w:sz w:val="24"/>
          <w:szCs w:val="24"/>
        </w:rPr>
        <w:tab/>
        <w:t>Preventing a Foreclosure Sale</w:t>
      </w:r>
    </w:p>
    <w:p w:rsidR="00C83B50" w:rsidRDefault="00C83B50" w:rsidP="00A807FA">
      <w:pPr>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 xml:space="preserve">It is very difficult to prevent a foreclosure sale.  A borrower may file a motion for </w:t>
      </w:r>
      <w:r w:rsidR="00603843" w:rsidRPr="008420D0">
        <w:rPr>
          <w:rFonts w:ascii="Times New Roman" w:hAnsi="Times New Roman" w:cs="Times New Roman"/>
          <w:sz w:val="24"/>
          <w:szCs w:val="24"/>
        </w:rPr>
        <w:t>a temporary restraining order, however, i</w:t>
      </w:r>
      <w:r w:rsidRPr="008420D0">
        <w:rPr>
          <w:rFonts w:ascii="Times New Roman" w:hAnsi="Times New Roman" w:cs="Times New Roman"/>
          <w:sz w:val="24"/>
          <w:szCs w:val="24"/>
        </w:rPr>
        <w:t>n order to be successful, the borrower must tender the amount owed to the court.  “On the maxim that one who seeks equity must do equity, it has been said many times that one who seeks to restrain or set aside a sale under power in a security deed must do equity by paying or tendering to the creditor the amount of indebtedness owing to him.”</w:t>
      </w:r>
      <w:r w:rsidRPr="008420D0">
        <w:rPr>
          <w:rStyle w:val="FootnoteReference"/>
          <w:rFonts w:ascii="Times New Roman" w:hAnsi="Times New Roman" w:cs="Times New Roman"/>
          <w:sz w:val="24"/>
          <w:szCs w:val="24"/>
        </w:rPr>
        <w:footnoteReference w:id="20"/>
      </w:r>
      <w:r w:rsidRPr="008420D0">
        <w:rPr>
          <w:rFonts w:ascii="Times New Roman" w:hAnsi="Times New Roman" w:cs="Times New Roman"/>
          <w:sz w:val="24"/>
          <w:szCs w:val="24"/>
        </w:rPr>
        <w:t xml:space="preserve">  In </w:t>
      </w:r>
      <w:r w:rsidRPr="008420D0">
        <w:rPr>
          <w:rFonts w:ascii="Times New Roman" w:hAnsi="Times New Roman" w:cs="Times New Roman"/>
          <w:sz w:val="24"/>
          <w:szCs w:val="24"/>
          <w:u w:val="single"/>
        </w:rPr>
        <w:t>Michel v. Pickett</w:t>
      </w:r>
      <w:r w:rsidRPr="008420D0">
        <w:rPr>
          <w:rFonts w:ascii="Times New Roman" w:hAnsi="Times New Roman" w:cs="Times New Roman"/>
          <w:sz w:val="24"/>
          <w:szCs w:val="24"/>
        </w:rPr>
        <w:t>,</w:t>
      </w:r>
      <w:r w:rsidRPr="008420D0">
        <w:rPr>
          <w:rStyle w:val="FootnoteReference"/>
          <w:rFonts w:ascii="Times New Roman" w:hAnsi="Times New Roman" w:cs="Times New Roman"/>
          <w:sz w:val="24"/>
          <w:szCs w:val="24"/>
        </w:rPr>
        <w:footnoteReference w:id="21"/>
      </w:r>
      <w:r w:rsidRPr="008420D0">
        <w:rPr>
          <w:rFonts w:ascii="Times New Roman" w:hAnsi="Times New Roman" w:cs="Times New Roman"/>
          <w:sz w:val="24"/>
          <w:szCs w:val="24"/>
        </w:rPr>
        <w:t xml:space="preserve"> the Georgia Supreme Court held that to enjoin a foreclosure proceeding, a borrower must tender the amounts admittedly due to the registry of the court.  The Georgia Supreme Court has held that “a borrower who has executed a deed to secure debt is not entitled to an injunction against a sale of the property under a power in the deed, unless he first </w:t>
      </w:r>
      <w:r w:rsidRPr="008420D0">
        <w:rPr>
          <w:rFonts w:ascii="Times New Roman" w:hAnsi="Times New Roman" w:cs="Times New Roman"/>
          <w:sz w:val="24"/>
          <w:szCs w:val="24"/>
        </w:rPr>
        <w:lastRenderedPageBreak/>
        <w:t>pays or tenders to the creditor the amount admittedly due.”</w:t>
      </w:r>
      <w:r w:rsidRPr="008420D0">
        <w:rPr>
          <w:rStyle w:val="FootnoteReference"/>
          <w:rFonts w:ascii="Times New Roman" w:hAnsi="Times New Roman" w:cs="Times New Roman"/>
          <w:sz w:val="24"/>
          <w:szCs w:val="24"/>
        </w:rPr>
        <w:footnoteReference w:id="22"/>
      </w:r>
      <w:r w:rsidRPr="008420D0">
        <w:rPr>
          <w:rFonts w:ascii="Times New Roman" w:hAnsi="Times New Roman" w:cs="Times New Roman"/>
          <w:sz w:val="24"/>
          <w:szCs w:val="24"/>
        </w:rPr>
        <w:t xml:space="preserve">  Although a debtor may attempt to enjoin a foreclosure proceeding, the chances of prevailing are </w:t>
      </w:r>
      <w:r w:rsidRPr="008420D0">
        <w:rPr>
          <w:rFonts w:ascii="Times New Roman" w:hAnsi="Times New Roman" w:cs="Times New Roman"/>
          <w:i/>
          <w:sz w:val="24"/>
          <w:szCs w:val="24"/>
        </w:rPr>
        <w:t>de minimis</w:t>
      </w:r>
      <w:r w:rsidRPr="008420D0">
        <w:rPr>
          <w:rFonts w:ascii="Times New Roman" w:hAnsi="Times New Roman" w:cs="Times New Roman"/>
          <w:sz w:val="24"/>
          <w:szCs w:val="24"/>
        </w:rPr>
        <w:t xml:space="preserve"> unless the debtor tenders the amounts due.  Consequently, an injunction is very impractical as most debtors do not have the funds to tender the amounts due to the court. </w:t>
      </w:r>
    </w:p>
    <w:p w:rsidR="008718EF" w:rsidRPr="00C95FFC" w:rsidRDefault="008718EF" w:rsidP="00A807FA">
      <w:pPr>
        <w:spacing w:after="0" w:line="480" w:lineRule="auto"/>
        <w:ind w:firstLine="720"/>
        <w:jc w:val="both"/>
        <w:rPr>
          <w:rFonts w:ascii="Times New Roman" w:hAnsi="Times New Roman" w:cs="Times New Roman"/>
          <w:sz w:val="24"/>
          <w:szCs w:val="24"/>
        </w:rPr>
      </w:pPr>
      <w:r w:rsidRPr="00C95FFC">
        <w:rPr>
          <w:rFonts w:ascii="Times New Roman" w:hAnsi="Times New Roman" w:cs="Times New Roman"/>
          <w:sz w:val="24"/>
          <w:szCs w:val="24"/>
        </w:rPr>
        <w:t xml:space="preserve">Furthermore, </w:t>
      </w:r>
      <w:r w:rsidR="00C95FFC" w:rsidRPr="00C95FFC">
        <w:rPr>
          <w:rFonts w:ascii="Times New Roman" w:hAnsi="Times New Roman" w:cs="Times New Roman"/>
          <w:sz w:val="24"/>
          <w:szCs w:val="24"/>
        </w:rPr>
        <w:t xml:space="preserve">the grounds on which a foreclosure may be enjoined are limited.  The Georgia Supreme Court </w:t>
      </w:r>
      <w:r w:rsidR="0041587D">
        <w:rPr>
          <w:rFonts w:ascii="Times New Roman" w:hAnsi="Times New Roman" w:cs="Times New Roman"/>
          <w:sz w:val="24"/>
          <w:szCs w:val="24"/>
        </w:rPr>
        <w:t xml:space="preserve">gave the following </w:t>
      </w:r>
      <w:r w:rsidR="00C814D8">
        <w:rPr>
          <w:rFonts w:ascii="Times New Roman" w:hAnsi="Times New Roman" w:cs="Times New Roman"/>
          <w:sz w:val="24"/>
          <w:szCs w:val="24"/>
        </w:rPr>
        <w:t xml:space="preserve">general </w:t>
      </w:r>
      <w:r w:rsidR="00C95FFC" w:rsidRPr="00C95FFC">
        <w:rPr>
          <w:rFonts w:ascii="Times New Roman" w:hAnsi="Times New Roman" w:cs="Times New Roman"/>
          <w:sz w:val="24"/>
          <w:szCs w:val="24"/>
        </w:rPr>
        <w:t>guidance</w:t>
      </w:r>
      <w:r w:rsidR="0041587D">
        <w:rPr>
          <w:rFonts w:ascii="Times New Roman" w:hAnsi="Times New Roman" w:cs="Times New Roman"/>
          <w:sz w:val="24"/>
          <w:szCs w:val="24"/>
        </w:rPr>
        <w:t xml:space="preserve"> in </w:t>
      </w:r>
      <w:r w:rsidR="0041587D" w:rsidRPr="0041587D">
        <w:rPr>
          <w:rFonts w:ascii="Times New Roman" w:hAnsi="Times New Roman" w:cs="Times New Roman"/>
          <w:sz w:val="24"/>
          <w:szCs w:val="24"/>
          <w:u w:val="single"/>
        </w:rPr>
        <w:t>Bramblett v. Bramblett</w:t>
      </w:r>
      <w:r w:rsidR="0041587D">
        <w:rPr>
          <w:rStyle w:val="FootnoteReference"/>
          <w:rFonts w:ascii="Times New Roman" w:hAnsi="Times New Roman" w:cs="Times New Roman"/>
          <w:sz w:val="24"/>
          <w:szCs w:val="24"/>
          <w:u w:val="single"/>
        </w:rPr>
        <w:footnoteReference w:id="23"/>
      </w:r>
      <w:r w:rsidR="00C95FFC" w:rsidRPr="00C95FFC">
        <w:rPr>
          <w:rFonts w:ascii="Times New Roman" w:hAnsi="Times New Roman" w:cs="Times New Roman"/>
          <w:sz w:val="24"/>
          <w:szCs w:val="24"/>
        </w:rPr>
        <w:t>:</w:t>
      </w:r>
    </w:p>
    <w:p w:rsidR="00C95FFC" w:rsidRPr="00C95FFC" w:rsidRDefault="00C95FFC" w:rsidP="000000D2">
      <w:pPr>
        <w:spacing w:after="240" w:line="240" w:lineRule="auto"/>
        <w:ind w:left="1440" w:right="1440"/>
        <w:jc w:val="both"/>
        <w:rPr>
          <w:rFonts w:ascii="Times New Roman" w:eastAsia="Times New Roman" w:hAnsi="Times New Roman" w:cs="Times New Roman"/>
          <w:color w:val="252525"/>
          <w:sz w:val="24"/>
          <w:szCs w:val="24"/>
        </w:rPr>
      </w:pPr>
      <w:r w:rsidRPr="00C95FFC">
        <w:rPr>
          <w:rFonts w:ascii="Times New Roman" w:eastAsia="Times New Roman" w:hAnsi="Times New Roman" w:cs="Times New Roman"/>
          <w:color w:val="252525"/>
          <w:sz w:val="24"/>
          <w:szCs w:val="24"/>
        </w:rPr>
        <w:t xml:space="preserve">The grant or denial of the request to permanently </w:t>
      </w:r>
      <w:r w:rsidRPr="00C95FFC">
        <w:rPr>
          <w:rFonts w:ascii="Times New Roman" w:eastAsia="Times New Roman" w:hAnsi="Times New Roman" w:cs="Times New Roman"/>
          <w:bCs/>
          <w:color w:val="252525"/>
          <w:sz w:val="24"/>
          <w:szCs w:val="24"/>
        </w:rPr>
        <w:t>enjoin</w:t>
      </w:r>
      <w:r w:rsidRPr="00C95FFC">
        <w:rPr>
          <w:rFonts w:ascii="Times New Roman" w:eastAsia="Times New Roman" w:hAnsi="Times New Roman" w:cs="Times New Roman"/>
          <w:color w:val="252525"/>
          <w:sz w:val="24"/>
          <w:szCs w:val="24"/>
        </w:rPr>
        <w:t xml:space="preserve"> the </w:t>
      </w:r>
      <w:r w:rsidRPr="00C95FFC">
        <w:rPr>
          <w:rFonts w:ascii="Times New Roman" w:eastAsia="Times New Roman" w:hAnsi="Times New Roman" w:cs="Times New Roman"/>
          <w:bCs/>
          <w:color w:val="252525"/>
          <w:sz w:val="24"/>
          <w:szCs w:val="24"/>
        </w:rPr>
        <w:t>foreclosure</w:t>
      </w:r>
      <w:r w:rsidRPr="00C95FFC">
        <w:rPr>
          <w:rFonts w:ascii="Times New Roman" w:eastAsia="Times New Roman" w:hAnsi="Times New Roman" w:cs="Times New Roman"/>
          <w:color w:val="252525"/>
          <w:sz w:val="24"/>
          <w:szCs w:val="24"/>
        </w:rPr>
        <w:t xml:space="preserve"> of the security deed is not, as argued by the plaintiff, a matter lying within the discretion of the trial judge. </w:t>
      </w:r>
      <w:r w:rsidRPr="00C95FFC">
        <w:rPr>
          <w:rFonts w:ascii="Times New Roman" w:eastAsia="Times New Roman" w:hAnsi="Times New Roman" w:cs="Times New Roman"/>
          <w:b/>
          <w:i/>
          <w:color w:val="252525"/>
          <w:sz w:val="24"/>
          <w:szCs w:val="24"/>
        </w:rPr>
        <w:t xml:space="preserve">Unless the security deed is found to be invalid, or unless there is found to be some other legal or equitable grounds supporting the injunction against </w:t>
      </w:r>
      <w:r w:rsidRPr="00012AE2">
        <w:rPr>
          <w:rFonts w:ascii="Times New Roman" w:eastAsia="Times New Roman" w:hAnsi="Times New Roman" w:cs="Times New Roman"/>
          <w:b/>
          <w:bCs/>
          <w:i/>
          <w:color w:val="252525"/>
          <w:sz w:val="24"/>
          <w:szCs w:val="24"/>
        </w:rPr>
        <w:t>foreclosure</w:t>
      </w:r>
      <w:r w:rsidRPr="00C95FFC">
        <w:rPr>
          <w:rFonts w:ascii="Times New Roman" w:eastAsia="Times New Roman" w:hAnsi="Times New Roman" w:cs="Times New Roman"/>
          <w:b/>
          <w:i/>
          <w:color w:val="252525"/>
          <w:sz w:val="24"/>
          <w:szCs w:val="24"/>
        </w:rPr>
        <w:t xml:space="preserve"> of the security deed, the security deed holder has the legal right to proceed with a </w:t>
      </w:r>
      <w:r w:rsidRPr="00012AE2">
        <w:rPr>
          <w:rFonts w:ascii="Times New Roman" w:eastAsia="Times New Roman" w:hAnsi="Times New Roman" w:cs="Times New Roman"/>
          <w:b/>
          <w:bCs/>
          <w:i/>
          <w:color w:val="252525"/>
          <w:sz w:val="24"/>
          <w:szCs w:val="24"/>
        </w:rPr>
        <w:t>foreclosure</w:t>
      </w:r>
      <w:r w:rsidRPr="00C95FFC">
        <w:rPr>
          <w:rFonts w:ascii="Times New Roman" w:eastAsia="Times New Roman" w:hAnsi="Times New Roman" w:cs="Times New Roman"/>
          <w:b/>
          <w:i/>
          <w:color w:val="252525"/>
          <w:sz w:val="24"/>
          <w:szCs w:val="24"/>
        </w:rPr>
        <w:t xml:space="preserve"> of it by exercising the power of sale contained therein.</w:t>
      </w:r>
    </w:p>
    <w:p w:rsidR="00C95FFC" w:rsidRPr="00C95FFC" w:rsidRDefault="00C95FFC" w:rsidP="000000D2">
      <w:pPr>
        <w:spacing w:after="240" w:line="240" w:lineRule="auto"/>
        <w:ind w:left="1440" w:right="1440"/>
        <w:jc w:val="both"/>
        <w:rPr>
          <w:rFonts w:ascii="Times New Roman" w:eastAsia="Times New Roman" w:hAnsi="Times New Roman" w:cs="Times New Roman"/>
          <w:color w:val="252525"/>
          <w:sz w:val="24"/>
          <w:szCs w:val="24"/>
        </w:rPr>
      </w:pPr>
      <w:hyperlink r:id="rId9" w:anchor="co_anchor_F21984104545" w:history="1"/>
      <w:r w:rsidRPr="00C95FFC">
        <w:rPr>
          <w:rFonts w:ascii="Times New Roman" w:eastAsia="Times New Roman" w:hAnsi="Times New Roman" w:cs="Times New Roman"/>
          <w:color w:val="252525"/>
          <w:sz w:val="24"/>
          <w:szCs w:val="24"/>
        </w:rPr>
        <w:t xml:space="preserve">Thus, in deciding whether or not to </w:t>
      </w:r>
      <w:r w:rsidRPr="00C95FFC">
        <w:rPr>
          <w:rFonts w:ascii="Times New Roman" w:eastAsia="Times New Roman" w:hAnsi="Times New Roman" w:cs="Times New Roman"/>
          <w:bCs/>
          <w:color w:val="252525"/>
          <w:sz w:val="24"/>
          <w:szCs w:val="24"/>
        </w:rPr>
        <w:t>enjoin</w:t>
      </w:r>
      <w:r w:rsidRPr="00C95FFC">
        <w:rPr>
          <w:rFonts w:ascii="Times New Roman" w:eastAsia="Times New Roman" w:hAnsi="Times New Roman" w:cs="Times New Roman"/>
          <w:color w:val="252525"/>
          <w:sz w:val="24"/>
          <w:szCs w:val="24"/>
        </w:rPr>
        <w:t xml:space="preserve"> the </w:t>
      </w:r>
      <w:r w:rsidRPr="00C95FFC">
        <w:rPr>
          <w:rFonts w:ascii="Times New Roman" w:eastAsia="Times New Roman" w:hAnsi="Times New Roman" w:cs="Times New Roman"/>
          <w:bCs/>
          <w:color w:val="252525"/>
          <w:sz w:val="24"/>
          <w:szCs w:val="24"/>
        </w:rPr>
        <w:t>foreclosure</w:t>
      </w:r>
      <w:r w:rsidRPr="00C95FFC">
        <w:rPr>
          <w:rFonts w:ascii="Times New Roman" w:eastAsia="Times New Roman" w:hAnsi="Times New Roman" w:cs="Times New Roman"/>
          <w:color w:val="252525"/>
          <w:sz w:val="24"/>
          <w:szCs w:val="24"/>
        </w:rPr>
        <w:t>, the superior court must make findings and/or conclusions concerning the validity of the security deed as between these parties</w:t>
      </w:r>
      <w:r w:rsidR="00012AE2">
        <w:rPr>
          <w:rFonts w:ascii="Times New Roman" w:eastAsia="Times New Roman" w:hAnsi="Times New Roman" w:cs="Times New Roman"/>
          <w:color w:val="252525"/>
          <w:sz w:val="24"/>
          <w:szCs w:val="24"/>
        </w:rPr>
        <w:t xml:space="preserve"> . . . .</w:t>
      </w:r>
    </w:p>
    <w:p w:rsidR="00C95FFC" w:rsidRPr="00C814D8" w:rsidRDefault="00C814D8" w:rsidP="000000D2">
      <w:pPr>
        <w:spacing w:after="0" w:line="480" w:lineRule="auto"/>
        <w:jc w:val="both"/>
        <w:rPr>
          <w:rFonts w:ascii="Times New Roman" w:hAnsi="Times New Roman" w:cs="Times New Roman"/>
          <w:sz w:val="24"/>
          <w:szCs w:val="24"/>
        </w:rPr>
      </w:pPr>
      <w:r w:rsidRPr="00C814D8">
        <w:rPr>
          <w:rFonts w:ascii="Times New Roman" w:hAnsi="Times New Roman" w:cs="Times New Roman"/>
          <w:sz w:val="24"/>
          <w:szCs w:val="24"/>
        </w:rPr>
        <w:t>More specifically, f</w:t>
      </w:r>
      <w:r w:rsidR="000000D2" w:rsidRPr="00C814D8">
        <w:rPr>
          <w:rFonts w:ascii="Times New Roman" w:hAnsi="Times New Roman" w:cs="Times New Roman"/>
          <w:sz w:val="24"/>
          <w:szCs w:val="24"/>
        </w:rPr>
        <w:t xml:space="preserve">or instance, Georgia courts have held that </w:t>
      </w:r>
      <w:r w:rsidR="000000D2" w:rsidRPr="00C814D8">
        <w:rPr>
          <w:rFonts w:ascii="Times New Roman" w:hAnsi="Times New Roman" w:cs="Times New Roman"/>
          <w:color w:val="252525"/>
          <w:sz w:val="24"/>
          <w:szCs w:val="24"/>
        </w:rPr>
        <w:t>significant questions concerning the construction of a forbearance agreement between a lender and a debtor and the course of conduct, both of which, if proved, could constitute a waiver of strict performance of the deed to secure a debt, justify an interlocutory injunction restraining the lender's assignee from foreclosing on property based on the debtor's alleged failure to pay taxes on the property</w:t>
      </w:r>
      <w:r w:rsidR="000000D2" w:rsidRPr="00C814D8">
        <w:rPr>
          <w:rFonts w:ascii="Times New Roman" w:hAnsi="Times New Roman" w:cs="Times New Roman"/>
          <w:color w:val="252525"/>
          <w:sz w:val="24"/>
          <w:szCs w:val="24"/>
        </w:rPr>
        <w:t>.</w:t>
      </w:r>
      <w:r w:rsidR="007E0876">
        <w:rPr>
          <w:rStyle w:val="FootnoteReference"/>
          <w:rFonts w:ascii="Times New Roman" w:hAnsi="Times New Roman" w:cs="Times New Roman"/>
          <w:color w:val="252525"/>
          <w:sz w:val="24"/>
          <w:szCs w:val="24"/>
        </w:rPr>
        <w:footnoteReference w:id="24"/>
      </w:r>
      <w:r w:rsidR="000000D2" w:rsidRPr="00C814D8">
        <w:rPr>
          <w:rFonts w:ascii="Times New Roman" w:hAnsi="Times New Roman" w:cs="Times New Roman"/>
          <w:color w:val="252525"/>
          <w:sz w:val="24"/>
          <w:szCs w:val="24"/>
        </w:rPr>
        <w:t xml:space="preserve">  A permanent injunction </w:t>
      </w:r>
      <w:r w:rsidR="000000D2" w:rsidRPr="00C814D8">
        <w:rPr>
          <w:rStyle w:val="cosearchterm7"/>
          <w:rFonts w:ascii="Times New Roman" w:hAnsi="Times New Roman" w:cs="Times New Roman"/>
          <w:b w:val="0"/>
          <w:sz w:val="24"/>
          <w:szCs w:val="24"/>
        </w:rPr>
        <w:t>enjoining</w:t>
      </w:r>
      <w:r w:rsidR="000000D2" w:rsidRPr="00C814D8">
        <w:rPr>
          <w:rFonts w:ascii="Times New Roman" w:hAnsi="Times New Roman" w:cs="Times New Roman"/>
          <w:b/>
          <w:color w:val="252525"/>
          <w:sz w:val="24"/>
          <w:szCs w:val="24"/>
        </w:rPr>
        <w:t xml:space="preserve"> </w:t>
      </w:r>
      <w:r w:rsidR="000000D2" w:rsidRPr="00C814D8">
        <w:rPr>
          <w:rFonts w:ascii="Times New Roman" w:hAnsi="Times New Roman" w:cs="Times New Roman"/>
          <w:color w:val="252525"/>
          <w:sz w:val="24"/>
          <w:szCs w:val="24"/>
        </w:rPr>
        <w:t xml:space="preserve">enforcement of the </w:t>
      </w:r>
      <w:r w:rsidR="000000D2" w:rsidRPr="00C814D8">
        <w:rPr>
          <w:rStyle w:val="cosearchterm7"/>
          <w:rFonts w:ascii="Times New Roman" w:hAnsi="Times New Roman" w:cs="Times New Roman"/>
          <w:b w:val="0"/>
          <w:sz w:val="24"/>
          <w:szCs w:val="24"/>
        </w:rPr>
        <w:t>foreclosure</w:t>
      </w:r>
      <w:r w:rsidR="000000D2" w:rsidRPr="00C814D8">
        <w:rPr>
          <w:rFonts w:ascii="Times New Roman" w:hAnsi="Times New Roman" w:cs="Times New Roman"/>
          <w:color w:val="252525"/>
          <w:sz w:val="24"/>
          <w:szCs w:val="24"/>
        </w:rPr>
        <w:t xml:space="preserve"> provisions of a security deed is </w:t>
      </w:r>
      <w:r w:rsidR="007E0876">
        <w:rPr>
          <w:rFonts w:ascii="Times New Roman" w:hAnsi="Times New Roman" w:cs="Times New Roman"/>
          <w:color w:val="252525"/>
          <w:sz w:val="24"/>
          <w:szCs w:val="24"/>
        </w:rPr>
        <w:t xml:space="preserve">also </w:t>
      </w:r>
      <w:r w:rsidR="000000D2" w:rsidRPr="00C814D8">
        <w:rPr>
          <w:rFonts w:ascii="Times New Roman" w:hAnsi="Times New Roman" w:cs="Times New Roman"/>
          <w:color w:val="252525"/>
          <w:sz w:val="24"/>
          <w:szCs w:val="24"/>
        </w:rPr>
        <w:t>warranted, where the deed is invalid</w:t>
      </w:r>
      <w:r w:rsidR="000000D2" w:rsidRPr="00C814D8">
        <w:rPr>
          <w:rFonts w:ascii="Times New Roman" w:hAnsi="Times New Roman" w:cs="Times New Roman"/>
          <w:color w:val="252525"/>
          <w:sz w:val="24"/>
          <w:szCs w:val="24"/>
        </w:rPr>
        <w:t>.</w:t>
      </w:r>
      <w:r w:rsidR="007E0876">
        <w:rPr>
          <w:rStyle w:val="FootnoteReference"/>
          <w:rFonts w:ascii="Times New Roman" w:hAnsi="Times New Roman" w:cs="Times New Roman"/>
          <w:color w:val="252525"/>
          <w:sz w:val="24"/>
          <w:szCs w:val="24"/>
        </w:rPr>
        <w:footnoteReference w:id="25"/>
      </w:r>
    </w:p>
    <w:p w:rsidR="00C83B50" w:rsidRPr="008420D0" w:rsidRDefault="00C83B50" w:rsidP="00A807FA">
      <w:pPr>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lastRenderedPageBreak/>
        <w:t xml:space="preserve">Alternatively, the borrower can prevent the foreclosure, at least temporarily, by seeking bankruptcy protection.  Pursuant to Section 362 of the Bankruptcy Code, there is an automatic stay in place immediately after a debtor seeks bankruptcy protection.  If a lender conducted a foreclosure sale when the stay was in place, the sale is void.  The lender can ask the bankruptcy court to lift the automatic stay, but this generally takes time and generally ensures </w:t>
      </w:r>
      <w:r w:rsidR="00603843" w:rsidRPr="008420D0">
        <w:rPr>
          <w:rFonts w:ascii="Times New Roman" w:hAnsi="Times New Roman" w:cs="Times New Roman"/>
          <w:sz w:val="24"/>
          <w:szCs w:val="24"/>
        </w:rPr>
        <w:t xml:space="preserve">a delay of </w:t>
      </w:r>
      <w:r w:rsidRPr="008420D0">
        <w:rPr>
          <w:rFonts w:ascii="Times New Roman" w:hAnsi="Times New Roman" w:cs="Times New Roman"/>
          <w:sz w:val="24"/>
          <w:szCs w:val="24"/>
        </w:rPr>
        <w:t>the foreclosure sale.  One should bear in mind, however, that putting the borrower into bankruptcy does not protect other people or entities that might have guaranteed the loan.  The lender may bring suit agains</w:t>
      </w:r>
      <w:r w:rsidR="00603843" w:rsidRPr="008420D0">
        <w:rPr>
          <w:rFonts w:ascii="Times New Roman" w:hAnsi="Times New Roman" w:cs="Times New Roman"/>
          <w:sz w:val="24"/>
          <w:szCs w:val="24"/>
        </w:rPr>
        <w:t>t</w:t>
      </w:r>
      <w:r w:rsidRPr="008420D0">
        <w:rPr>
          <w:rFonts w:ascii="Times New Roman" w:hAnsi="Times New Roman" w:cs="Times New Roman"/>
          <w:sz w:val="24"/>
          <w:szCs w:val="24"/>
        </w:rPr>
        <w:t xml:space="preserve"> </w:t>
      </w:r>
      <w:r w:rsidR="00603843" w:rsidRPr="008420D0">
        <w:rPr>
          <w:rFonts w:ascii="Times New Roman" w:hAnsi="Times New Roman" w:cs="Times New Roman"/>
          <w:sz w:val="24"/>
          <w:szCs w:val="24"/>
        </w:rPr>
        <w:t>guarantors</w:t>
      </w:r>
      <w:r w:rsidRPr="008420D0">
        <w:rPr>
          <w:rFonts w:ascii="Times New Roman" w:hAnsi="Times New Roman" w:cs="Times New Roman"/>
          <w:sz w:val="24"/>
          <w:szCs w:val="24"/>
        </w:rPr>
        <w:t xml:space="preserve"> despite the </w:t>
      </w:r>
      <w:r w:rsidR="00603843" w:rsidRPr="008420D0">
        <w:rPr>
          <w:rFonts w:ascii="Times New Roman" w:hAnsi="Times New Roman" w:cs="Times New Roman"/>
          <w:sz w:val="24"/>
          <w:szCs w:val="24"/>
        </w:rPr>
        <w:t xml:space="preserve">borrower’s </w:t>
      </w:r>
      <w:r w:rsidRPr="008420D0">
        <w:rPr>
          <w:rFonts w:ascii="Times New Roman" w:hAnsi="Times New Roman" w:cs="Times New Roman"/>
          <w:sz w:val="24"/>
          <w:szCs w:val="24"/>
        </w:rPr>
        <w:t>filing</w:t>
      </w:r>
      <w:r w:rsidR="00603843" w:rsidRPr="008420D0">
        <w:rPr>
          <w:rFonts w:ascii="Times New Roman" w:hAnsi="Times New Roman" w:cs="Times New Roman"/>
          <w:sz w:val="24"/>
          <w:szCs w:val="24"/>
        </w:rPr>
        <w:t xml:space="preserve"> for bankruptcy</w:t>
      </w:r>
      <w:r w:rsidRPr="008420D0">
        <w:rPr>
          <w:rFonts w:ascii="Times New Roman" w:hAnsi="Times New Roman" w:cs="Times New Roman"/>
          <w:sz w:val="24"/>
          <w:szCs w:val="24"/>
        </w:rPr>
        <w:t xml:space="preserve">. </w:t>
      </w:r>
    </w:p>
    <w:p w:rsidR="00603843" w:rsidRPr="008420D0" w:rsidRDefault="00603843" w:rsidP="00A807FA">
      <w:pPr>
        <w:spacing w:after="0" w:line="480" w:lineRule="auto"/>
        <w:ind w:firstLine="720"/>
        <w:jc w:val="both"/>
        <w:rPr>
          <w:rFonts w:ascii="Times New Roman" w:hAnsi="Times New Roman" w:cs="Times New Roman"/>
          <w:b/>
          <w:sz w:val="24"/>
          <w:szCs w:val="24"/>
          <w:u w:val="single"/>
        </w:rPr>
      </w:pPr>
      <w:r w:rsidRPr="008420D0">
        <w:rPr>
          <w:rFonts w:ascii="Times New Roman" w:hAnsi="Times New Roman" w:cs="Times New Roman"/>
          <w:b/>
          <w:sz w:val="24"/>
          <w:szCs w:val="24"/>
        </w:rPr>
        <w:t>B.</w:t>
      </w:r>
      <w:r w:rsidRPr="008420D0">
        <w:rPr>
          <w:rFonts w:ascii="Times New Roman" w:hAnsi="Times New Roman" w:cs="Times New Roman"/>
          <w:b/>
          <w:sz w:val="24"/>
          <w:szCs w:val="24"/>
        </w:rPr>
        <w:tab/>
      </w:r>
      <w:r w:rsidRPr="008420D0">
        <w:rPr>
          <w:rFonts w:ascii="Times New Roman" w:hAnsi="Times New Roman" w:cs="Times New Roman"/>
          <w:b/>
          <w:sz w:val="24"/>
          <w:szCs w:val="24"/>
          <w:u w:val="single"/>
        </w:rPr>
        <w:t>The Confirmation Action</w:t>
      </w:r>
    </w:p>
    <w:p w:rsidR="00C83B50" w:rsidRPr="008420D0" w:rsidRDefault="00C83B50" w:rsidP="00A807FA">
      <w:pPr>
        <w:pStyle w:val="BodyText"/>
        <w:widowControl w:val="0"/>
        <w:ind w:firstLine="720"/>
        <w:jc w:val="both"/>
        <w:rPr>
          <w:szCs w:val="24"/>
        </w:rPr>
      </w:pPr>
      <w:r w:rsidRPr="008420D0">
        <w:rPr>
          <w:szCs w:val="24"/>
        </w:rPr>
        <w:t xml:space="preserve">Breaking it down to its most basic function, the confirmation action is the process a bank or lender must go through after a non-judicial foreclosure sale in order to seek a deficiency judgment against a borrower </w:t>
      </w:r>
      <w:r w:rsidR="00EB28B5">
        <w:rPr>
          <w:szCs w:val="24"/>
        </w:rPr>
        <w:t>and/</w:t>
      </w:r>
      <w:r w:rsidRPr="008420D0">
        <w:rPr>
          <w:szCs w:val="24"/>
        </w:rPr>
        <w:t>or</w:t>
      </w:r>
      <w:r w:rsidR="00EB28B5">
        <w:rPr>
          <w:szCs w:val="24"/>
        </w:rPr>
        <w:t>, at least in some circumstances,</w:t>
      </w:r>
      <w:r w:rsidRPr="008420D0">
        <w:rPr>
          <w:szCs w:val="24"/>
        </w:rPr>
        <w:t xml:space="preserve"> guarantor.  More precisely, whenever any real estate is sold through non-judicial foreclosure under the “Power of Sale” clause contained in security deeds, mortgages, or other lien contracts, and the sale of the real estate is not enough to cover the amount of the debt secured by the deed, mortgage, or contract, the lender instituting the foreclosure proceedings </w:t>
      </w:r>
      <w:r w:rsidR="001D7912">
        <w:rPr>
          <w:szCs w:val="24"/>
        </w:rPr>
        <w:t xml:space="preserve">generally </w:t>
      </w:r>
      <w:r w:rsidRPr="008420D0">
        <w:rPr>
          <w:szCs w:val="24"/>
          <w:u w:val="single"/>
        </w:rPr>
        <w:t>cannot</w:t>
      </w:r>
      <w:r w:rsidRPr="008420D0">
        <w:rPr>
          <w:szCs w:val="24"/>
        </w:rPr>
        <w:t xml:space="preserve"> seek a deficiency judgment unless, within 30 days after the foreclosure sale, the lender reports the sale to a superior court judge of the county in which the land is located for confirmation and approval, and obtains an order of confirmation.</w:t>
      </w:r>
      <w:r w:rsidR="00603843" w:rsidRPr="008420D0">
        <w:rPr>
          <w:rStyle w:val="FootnoteReference"/>
          <w:szCs w:val="24"/>
        </w:rPr>
        <w:footnoteReference w:id="26"/>
      </w:r>
      <w:r w:rsidRPr="008420D0">
        <w:rPr>
          <w:szCs w:val="24"/>
        </w:rPr>
        <w:t xml:space="preserve"> </w:t>
      </w:r>
    </w:p>
    <w:p w:rsidR="00C83B50" w:rsidRPr="008420D0" w:rsidRDefault="00C83B50" w:rsidP="00A807FA">
      <w:pPr>
        <w:pStyle w:val="BodyText"/>
        <w:widowControl w:val="0"/>
        <w:ind w:firstLine="720"/>
        <w:jc w:val="both"/>
        <w:rPr>
          <w:szCs w:val="24"/>
        </w:rPr>
      </w:pPr>
      <w:r w:rsidRPr="008420D0">
        <w:rPr>
          <w:szCs w:val="24"/>
        </w:rPr>
        <w:t xml:space="preserve">A few years ago, the words “confirmation hearing” were unfamiliar to most attorneys, even those </w:t>
      </w:r>
      <w:r w:rsidR="00603843" w:rsidRPr="008420D0">
        <w:rPr>
          <w:szCs w:val="24"/>
        </w:rPr>
        <w:t>who either</w:t>
      </w:r>
      <w:r w:rsidRPr="008420D0">
        <w:rPr>
          <w:szCs w:val="24"/>
        </w:rPr>
        <w:t xml:space="preserve"> practiced real estate law</w:t>
      </w:r>
      <w:r w:rsidR="00603843" w:rsidRPr="008420D0">
        <w:rPr>
          <w:szCs w:val="24"/>
        </w:rPr>
        <w:t xml:space="preserve"> or represented borrowers</w:t>
      </w:r>
      <w:r w:rsidRPr="008420D0">
        <w:rPr>
          <w:szCs w:val="24"/>
        </w:rPr>
        <w:t xml:space="preserve">.   Traditionally, when a lender foreclosed on a property, it would go through the confirmation process, show up at the </w:t>
      </w:r>
      <w:r w:rsidRPr="008420D0">
        <w:rPr>
          <w:szCs w:val="24"/>
        </w:rPr>
        <w:lastRenderedPageBreak/>
        <w:t xml:space="preserve">hearing, testify as to the value of the property, and maybe once in awhile, a debtor or guarantor would show up to plead their case to the judge.  After the crash of the real estate markets, as banks started taking back properties on an hourly instead of monthly basis, the confirmation proceeding suddenly took center stage.  Now, rather than being a mere formality, the confirmation action is a critical battle that gives borrowers and </w:t>
      </w:r>
      <w:r w:rsidR="001D7912">
        <w:rPr>
          <w:szCs w:val="24"/>
        </w:rPr>
        <w:t xml:space="preserve">at least some </w:t>
      </w:r>
      <w:r w:rsidRPr="008420D0">
        <w:rPr>
          <w:szCs w:val="24"/>
        </w:rPr>
        <w:t xml:space="preserve">guarantors the opportunity to eradicate their deficiencies in situations where lenders fail to follow the strict requirements of the confirmation statute. </w:t>
      </w:r>
    </w:p>
    <w:p w:rsidR="00C83B50" w:rsidRPr="008420D0" w:rsidRDefault="00603843" w:rsidP="00A807FA">
      <w:pPr>
        <w:pStyle w:val="BodyText"/>
        <w:widowControl w:val="0"/>
        <w:ind w:left="720" w:firstLine="720"/>
        <w:jc w:val="both"/>
        <w:rPr>
          <w:b/>
          <w:szCs w:val="24"/>
        </w:rPr>
      </w:pPr>
      <w:r w:rsidRPr="008420D0">
        <w:rPr>
          <w:b/>
          <w:szCs w:val="24"/>
        </w:rPr>
        <w:t>1.</w:t>
      </w:r>
      <w:r w:rsidRPr="008420D0">
        <w:rPr>
          <w:b/>
          <w:szCs w:val="24"/>
        </w:rPr>
        <w:tab/>
      </w:r>
      <w:r w:rsidR="00C83B50" w:rsidRPr="008420D0">
        <w:rPr>
          <w:b/>
          <w:szCs w:val="24"/>
        </w:rPr>
        <w:t>Requirements of the Confirmation Statute</w:t>
      </w:r>
    </w:p>
    <w:p w:rsidR="00C83B50" w:rsidRPr="008420D0" w:rsidRDefault="00C83B50" w:rsidP="00A807FA">
      <w:pPr>
        <w:pStyle w:val="BodyText"/>
        <w:widowControl w:val="0"/>
        <w:ind w:firstLine="720"/>
        <w:jc w:val="both"/>
        <w:rPr>
          <w:szCs w:val="24"/>
        </w:rPr>
      </w:pPr>
      <w:r w:rsidRPr="008420D0">
        <w:rPr>
          <w:szCs w:val="24"/>
        </w:rPr>
        <w:t>O.C.G.A. § 44-14-161 governs confirmations of foreclosure sales.  O.C.G.A. § 44-14-161(a) provides:</w:t>
      </w:r>
    </w:p>
    <w:p w:rsidR="00C83B50" w:rsidRPr="008420D0" w:rsidRDefault="00C83B50" w:rsidP="00C83B50">
      <w:pPr>
        <w:pStyle w:val="BodyText"/>
        <w:widowControl w:val="0"/>
        <w:spacing w:line="240" w:lineRule="auto"/>
        <w:ind w:left="720" w:right="720"/>
        <w:jc w:val="both"/>
        <w:rPr>
          <w:szCs w:val="24"/>
        </w:rPr>
      </w:pPr>
      <w:r w:rsidRPr="008420D0">
        <w:rPr>
          <w:szCs w:val="24"/>
        </w:rPr>
        <w:t>Whenever any real estate is sold on foreclosure, without legal process, and under powers contained in security deeds, mortgages, or other lien contracts and at the sale the real estate does not bring the amount of the debt secured by the deed, mortgage, or contract, no action may be taken to obtain a deficiency judgment unless the person instituting the foreclosure proceedings shall, within 30 days after the sale, report the sale to the judge of the superior court of the county in which the land is located for confirmation and approval</w:t>
      </w:r>
      <w:r w:rsidRPr="008420D0">
        <w:rPr>
          <w:b/>
          <w:szCs w:val="24"/>
        </w:rPr>
        <w:t xml:space="preserve"> </w:t>
      </w:r>
      <w:r w:rsidRPr="008420D0">
        <w:rPr>
          <w:szCs w:val="24"/>
        </w:rPr>
        <w:t>and shall obtain an order of confirmation and approval thereon.</w:t>
      </w:r>
      <w:r w:rsidRPr="008420D0">
        <w:rPr>
          <w:rStyle w:val="FootnoteReference"/>
          <w:rFonts w:eastAsia="Calibri"/>
          <w:szCs w:val="24"/>
        </w:rPr>
        <w:footnoteReference w:id="27"/>
      </w:r>
    </w:p>
    <w:p w:rsidR="00C83B50" w:rsidRPr="008420D0" w:rsidRDefault="00C83B50" w:rsidP="00C83B50">
      <w:pPr>
        <w:pStyle w:val="BodyText"/>
        <w:widowControl w:val="0"/>
        <w:spacing w:line="240" w:lineRule="auto"/>
        <w:ind w:left="720" w:right="720"/>
        <w:jc w:val="both"/>
        <w:rPr>
          <w:szCs w:val="24"/>
        </w:rPr>
      </w:pPr>
    </w:p>
    <w:p w:rsidR="00C83B50" w:rsidRDefault="00C83B50" w:rsidP="00A807FA">
      <w:pPr>
        <w:pStyle w:val="BodyText"/>
        <w:widowControl w:val="0"/>
        <w:jc w:val="both"/>
        <w:rPr>
          <w:szCs w:val="24"/>
        </w:rPr>
      </w:pPr>
      <w:r w:rsidRPr="008420D0">
        <w:rPr>
          <w:szCs w:val="24"/>
        </w:rPr>
        <w:t>Because the statute is in derogation of common law, it must be strictly construed.</w:t>
      </w:r>
      <w:r w:rsidRPr="008420D0">
        <w:rPr>
          <w:rStyle w:val="FootnoteReference"/>
          <w:rFonts w:eastAsia="Calibri"/>
          <w:szCs w:val="24"/>
        </w:rPr>
        <w:footnoteReference w:id="28"/>
      </w:r>
      <w:r w:rsidRPr="008420D0">
        <w:rPr>
          <w:szCs w:val="24"/>
        </w:rPr>
        <w:t xml:space="preserve">  This strict construction can </w:t>
      </w:r>
      <w:r w:rsidR="00603843" w:rsidRPr="008420D0">
        <w:rPr>
          <w:szCs w:val="24"/>
        </w:rPr>
        <w:t>aid</w:t>
      </w:r>
      <w:r w:rsidRPr="008420D0">
        <w:rPr>
          <w:szCs w:val="24"/>
        </w:rPr>
        <w:t xml:space="preserve"> borrowers and guarantors if their counsel knows the confirmation statute well and pays close attention to detail.  For some requirements of the statute, failure to comply results in dismissal, while other mistakes may only lead to a continuance or re-sale.  Regardless, for any requirement of the statute, it is imperative </w:t>
      </w:r>
      <w:r w:rsidR="00603843" w:rsidRPr="008420D0">
        <w:rPr>
          <w:szCs w:val="24"/>
        </w:rPr>
        <w:t>as borrower’s counsel to know the</w:t>
      </w:r>
      <w:r w:rsidRPr="008420D0">
        <w:rPr>
          <w:szCs w:val="24"/>
        </w:rPr>
        <w:t xml:space="preserve"> rules </w:t>
      </w:r>
      <w:r w:rsidR="00603843" w:rsidRPr="008420D0">
        <w:rPr>
          <w:szCs w:val="24"/>
        </w:rPr>
        <w:t>and</w:t>
      </w:r>
      <w:r w:rsidRPr="008420D0">
        <w:rPr>
          <w:szCs w:val="24"/>
        </w:rPr>
        <w:t xml:space="preserve"> quickly spot when the lender has broken them.    </w:t>
      </w:r>
    </w:p>
    <w:p w:rsidR="001D7912" w:rsidRPr="008420D0" w:rsidRDefault="001D7912" w:rsidP="00A807FA">
      <w:pPr>
        <w:pStyle w:val="BodyText"/>
        <w:widowControl w:val="0"/>
        <w:jc w:val="both"/>
        <w:rPr>
          <w:szCs w:val="24"/>
        </w:rPr>
      </w:pPr>
    </w:p>
    <w:p w:rsidR="00C83B50" w:rsidRPr="008420D0" w:rsidRDefault="00603843" w:rsidP="00A807FA">
      <w:pPr>
        <w:pStyle w:val="BodyText"/>
        <w:widowControl w:val="0"/>
        <w:ind w:left="1440" w:firstLine="720"/>
        <w:jc w:val="both"/>
        <w:rPr>
          <w:b/>
          <w:szCs w:val="24"/>
        </w:rPr>
      </w:pPr>
      <w:r w:rsidRPr="008420D0">
        <w:rPr>
          <w:b/>
          <w:szCs w:val="24"/>
        </w:rPr>
        <w:lastRenderedPageBreak/>
        <w:t>i.</w:t>
      </w:r>
      <w:r w:rsidRPr="008420D0">
        <w:rPr>
          <w:b/>
          <w:szCs w:val="24"/>
        </w:rPr>
        <w:tab/>
      </w:r>
      <w:r w:rsidR="00C83B50" w:rsidRPr="008420D0">
        <w:rPr>
          <w:b/>
          <w:szCs w:val="24"/>
        </w:rPr>
        <w:t xml:space="preserve">Reporting the </w:t>
      </w:r>
      <w:r w:rsidR="008676C2" w:rsidRPr="008420D0">
        <w:rPr>
          <w:b/>
          <w:szCs w:val="24"/>
        </w:rPr>
        <w:t>S</w:t>
      </w:r>
      <w:r w:rsidR="00C83B50" w:rsidRPr="008420D0">
        <w:rPr>
          <w:b/>
          <w:szCs w:val="24"/>
        </w:rPr>
        <w:t>ale</w:t>
      </w:r>
    </w:p>
    <w:p w:rsidR="00C83B50" w:rsidRPr="008420D0" w:rsidRDefault="00C83B50" w:rsidP="00A807FA">
      <w:pPr>
        <w:pStyle w:val="BodyText"/>
        <w:widowControl w:val="0"/>
        <w:ind w:firstLine="720"/>
        <w:jc w:val="both"/>
        <w:rPr>
          <w:szCs w:val="24"/>
        </w:rPr>
      </w:pPr>
      <w:r w:rsidRPr="008420D0">
        <w:rPr>
          <w:szCs w:val="24"/>
        </w:rPr>
        <w:t>First, after the foreclosure sale is conducted, Georgia law requires the lender to physically present a report of foreclosure sale to a sitting superior court judge.</w:t>
      </w:r>
      <w:r w:rsidRPr="008420D0">
        <w:rPr>
          <w:rStyle w:val="FootnoteReference"/>
          <w:rFonts w:eastAsia="Calibri"/>
          <w:szCs w:val="24"/>
        </w:rPr>
        <w:footnoteReference w:id="29"/>
      </w:r>
      <w:r w:rsidRPr="008420D0">
        <w:rPr>
          <w:szCs w:val="24"/>
        </w:rPr>
        <w:t xml:space="preserve">  A confirmation application is not a “civil action” in the superior court, but is a special statutory proceeding.</w:t>
      </w:r>
      <w:r w:rsidRPr="008420D0">
        <w:rPr>
          <w:rStyle w:val="FootnoteReference"/>
          <w:rFonts w:eastAsia="Calibri"/>
          <w:szCs w:val="24"/>
        </w:rPr>
        <w:footnoteReference w:id="30"/>
      </w:r>
      <w:r w:rsidRPr="008420D0">
        <w:rPr>
          <w:szCs w:val="24"/>
        </w:rPr>
        <w:t xml:space="preserve">  The Georgia Supreme Court explained, “[i]ndeed, entirely unlike a ‘civil action’ which is initiated by the filing of a ‘complaint’ with the clerk of the court, a confirmation proceeding can only be initiated by the creditor’s report of the sale to the superior court judge.”</w:t>
      </w:r>
      <w:r w:rsidRPr="008420D0">
        <w:rPr>
          <w:rStyle w:val="FootnoteReference"/>
          <w:rFonts w:eastAsia="Calibri"/>
          <w:szCs w:val="24"/>
        </w:rPr>
        <w:footnoteReference w:id="31"/>
      </w:r>
      <w:r w:rsidRPr="008420D0">
        <w:rPr>
          <w:szCs w:val="24"/>
        </w:rPr>
        <w:t xml:space="preserve">  Thus, rather than becoming a “Plaintiff,” lenders seeking confirmation are “Petitioners” and borrowers and guarantors are “Respondents.”  </w:t>
      </w:r>
    </w:p>
    <w:p w:rsidR="00C83B50" w:rsidRPr="008420D0" w:rsidRDefault="00C83B50" w:rsidP="00A807FA">
      <w:pPr>
        <w:pStyle w:val="ListParagraph"/>
        <w:widowControl w:val="0"/>
        <w:spacing w:line="480" w:lineRule="auto"/>
        <w:ind w:left="0" w:firstLine="720"/>
        <w:jc w:val="both"/>
        <w:rPr>
          <w:rFonts w:ascii="Times New Roman" w:hAnsi="Times New Roman"/>
        </w:rPr>
      </w:pPr>
      <w:r w:rsidRPr="008420D0">
        <w:rPr>
          <w:rFonts w:ascii="Times New Roman" w:hAnsi="Times New Roman"/>
        </w:rPr>
        <w:t xml:space="preserve">In </w:t>
      </w:r>
      <w:r w:rsidRPr="008420D0">
        <w:rPr>
          <w:rFonts w:ascii="Times New Roman" w:hAnsi="Times New Roman"/>
          <w:u w:val="single"/>
        </w:rPr>
        <w:t>John Alden Life Insurance Company v. Gwinnett Plantation, Ltd</w:t>
      </w:r>
      <w:r w:rsidRPr="008420D0">
        <w:rPr>
          <w:rFonts w:ascii="Times New Roman" w:hAnsi="Times New Roman"/>
        </w:rPr>
        <w:t>, the Court of Appeals explained “[t]he judge himself, not the clerk of court, is the one whose attention the report of sale and its particulars must be brought.”</w:t>
      </w:r>
      <w:r w:rsidRPr="008420D0">
        <w:rPr>
          <w:rStyle w:val="FootnoteReference"/>
          <w:rFonts w:ascii="Times New Roman" w:hAnsi="Times New Roman"/>
        </w:rPr>
        <w:footnoteReference w:id="32"/>
      </w:r>
      <w:r w:rsidRPr="008420D0">
        <w:rPr>
          <w:rFonts w:ascii="Times New Roman" w:hAnsi="Times New Roman"/>
        </w:rPr>
        <w:t xml:space="preserve">  In </w:t>
      </w:r>
      <w:r w:rsidRPr="008420D0">
        <w:rPr>
          <w:rFonts w:ascii="Times New Roman" w:hAnsi="Times New Roman"/>
          <w:u w:val="single"/>
        </w:rPr>
        <w:t>John Alden</w:t>
      </w:r>
      <w:r w:rsidRPr="008420D0">
        <w:rPr>
          <w:rFonts w:ascii="Times New Roman" w:hAnsi="Times New Roman"/>
        </w:rPr>
        <w:t>, the lender personally presented the report of sale to the clerk of court, who assigned it to a judge.</w:t>
      </w:r>
      <w:r w:rsidRPr="008420D0">
        <w:rPr>
          <w:rStyle w:val="FootnoteReference"/>
          <w:rFonts w:ascii="Times New Roman" w:hAnsi="Times New Roman"/>
        </w:rPr>
        <w:footnoteReference w:id="33"/>
      </w:r>
      <w:r w:rsidRPr="008420D0">
        <w:rPr>
          <w:rFonts w:ascii="Times New Roman" w:hAnsi="Times New Roman"/>
        </w:rPr>
        <w:t xml:space="preserve">  Because the lender failed to present the petition to a judge</w:t>
      </w:r>
      <w:r w:rsidR="008676C2" w:rsidRPr="008420D0">
        <w:rPr>
          <w:rFonts w:ascii="Times New Roman" w:hAnsi="Times New Roman"/>
        </w:rPr>
        <w:t xml:space="preserve"> himself</w:t>
      </w:r>
      <w:r w:rsidRPr="008420D0">
        <w:rPr>
          <w:rFonts w:ascii="Times New Roman" w:hAnsi="Times New Roman"/>
        </w:rPr>
        <w:t>, the Court of Appeals upheld the trial court’s dismissal of the petition.</w:t>
      </w:r>
      <w:r w:rsidRPr="008420D0">
        <w:rPr>
          <w:rStyle w:val="FootnoteReference"/>
          <w:rFonts w:ascii="Times New Roman" w:hAnsi="Times New Roman"/>
        </w:rPr>
        <w:footnoteReference w:id="34"/>
      </w:r>
      <w:r w:rsidRPr="008420D0">
        <w:rPr>
          <w:rFonts w:ascii="Times New Roman" w:hAnsi="Times New Roman"/>
        </w:rPr>
        <w:t xml:space="preserve">  Similarly, in </w:t>
      </w:r>
      <w:r w:rsidRPr="008420D0">
        <w:rPr>
          <w:rFonts w:ascii="Times New Roman" w:hAnsi="Times New Roman"/>
          <w:u w:val="single"/>
        </w:rPr>
        <w:t>Goodman v. Vinson</w:t>
      </w:r>
      <w:r w:rsidRPr="008420D0">
        <w:rPr>
          <w:rFonts w:ascii="Times New Roman" w:hAnsi="Times New Roman"/>
        </w:rPr>
        <w:t>,</w:t>
      </w:r>
      <w:r w:rsidRPr="008420D0">
        <w:rPr>
          <w:rStyle w:val="FootnoteReference"/>
          <w:rFonts w:ascii="Times New Roman" w:hAnsi="Times New Roman"/>
        </w:rPr>
        <w:footnoteReference w:id="35"/>
      </w:r>
      <w:r w:rsidRPr="008420D0">
        <w:rPr>
          <w:rFonts w:ascii="Times New Roman" w:hAnsi="Times New Roman"/>
        </w:rPr>
        <w:t xml:space="preserve"> the Court of Appeals explained that presenting a report of sale to the clerk of court </w:t>
      </w:r>
      <w:r w:rsidR="008676C2" w:rsidRPr="008420D0">
        <w:rPr>
          <w:rFonts w:ascii="Times New Roman" w:hAnsi="Times New Roman"/>
        </w:rPr>
        <w:t>does not satisfy</w:t>
      </w:r>
      <w:r w:rsidRPr="008420D0">
        <w:rPr>
          <w:rFonts w:ascii="Times New Roman" w:hAnsi="Times New Roman"/>
        </w:rPr>
        <w:t xml:space="preserve"> Georgia law.</w:t>
      </w:r>
      <w:r w:rsidRPr="008420D0">
        <w:rPr>
          <w:rStyle w:val="FootnoteReference"/>
          <w:rFonts w:ascii="Times New Roman" w:hAnsi="Times New Roman"/>
        </w:rPr>
        <w:footnoteReference w:id="36"/>
      </w:r>
      <w:r w:rsidRPr="008420D0">
        <w:rPr>
          <w:rFonts w:ascii="Times New Roman" w:hAnsi="Times New Roman"/>
        </w:rPr>
        <w:t xml:space="preserve">  The court reasoned that the code only mentions the judge—not the court or the clerk.</w:t>
      </w:r>
    </w:p>
    <w:p w:rsidR="00C83B50" w:rsidRPr="008420D0" w:rsidRDefault="008676C2" w:rsidP="00A807FA">
      <w:pPr>
        <w:widowControl w:val="0"/>
        <w:spacing w:after="0" w:line="480" w:lineRule="auto"/>
        <w:ind w:left="1440" w:firstLine="720"/>
        <w:jc w:val="both"/>
        <w:rPr>
          <w:rFonts w:ascii="Times New Roman" w:hAnsi="Times New Roman" w:cs="Times New Roman"/>
          <w:b/>
          <w:sz w:val="24"/>
          <w:szCs w:val="24"/>
        </w:rPr>
      </w:pPr>
      <w:r w:rsidRPr="008420D0">
        <w:rPr>
          <w:rFonts w:ascii="Times New Roman" w:hAnsi="Times New Roman" w:cs="Times New Roman"/>
          <w:b/>
          <w:sz w:val="24"/>
          <w:szCs w:val="24"/>
        </w:rPr>
        <w:lastRenderedPageBreak/>
        <w:t>ii.</w:t>
      </w:r>
      <w:r w:rsidRPr="008420D0">
        <w:rPr>
          <w:rFonts w:ascii="Times New Roman" w:hAnsi="Times New Roman" w:cs="Times New Roman"/>
          <w:b/>
          <w:sz w:val="24"/>
          <w:szCs w:val="24"/>
        </w:rPr>
        <w:tab/>
      </w:r>
      <w:r w:rsidR="00C83B50" w:rsidRPr="008420D0">
        <w:rPr>
          <w:rFonts w:ascii="Times New Roman" w:hAnsi="Times New Roman" w:cs="Times New Roman"/>
          <w:b/>
          <w:sz w:val="24"/>
          <w:szCs w:val="24"/>
        </w:rPr>
        <w:t xml:space="preserve">Five </w:t>
      </w:r>
      <w:r w:rsidRPr="008420D0">
        <w:rPr>
          <w:rFonts w:ascii="Times New Roman" w:hAnsi="Times New Roman" w:cs="Times New Roman"/>
          <w:b/>
          <w:sz w:val="24"/>
          <w:szCs w:val="24"/>
        </w:rPr>
        <w:t>D</w:t>
      </w:r>
      <w:r w:rsidR="00C83B50" w:rsidRPr="008420D0">
        <w:rPr>
          <w:rFonts w:ascii="Times New Roman" w:hAnsi="Times New Roman" w:cs="Times New Roman"/>
          <w:b/>
          <w:sz w:val="24"/>
          <w:szCs w:val="24"/>
        </w:rPr>
        <w:t>ays</w:t>
      </w:r>
      <w:r w:rsidRPr="008420D0">
        <w:rPr>
          <w:rFonts w:ascii="Times New Roman" w:hAnsi="Times New Roman" w:cs="Times New Roman"/>
          <w:b/>
          <w:sz w:val="24"/>
          <w:szCs w:val="24"/>
        </w:rPr>
        <w:t>’ N</w:t>
      </w:r>
      <w:r w:rsidR="00C83B50" w:rsidRPr="008420D0">
        <w:rPr>
          <w:rFonts w:ascii="Times New Roman" w:hAnsi="Times New Roman" w:cs="Times New Roman"/>
          <w:b/>
          <w:sz w:val="24"/>
          <w:szCs w:val="24"/>
        </w:rPr>
        <w:t xml:space="preserve">otice </w:t>
      </w:r>
      <w:r w:rsidRPr="008420D0">
        <w:rPr>
          <w:rFonts w:ascii="Times New Roman" w:hAnsi="Times New Roman" w:cs="Times New Roman"/>
          <w:b/>
          <w:sz w:val="24"/>
          <w:szCs w:val="24"/>
        </w:rPr>
        <w:t>P</w:t>
      </w:r>
      <w:r w:rsidR="00C83B50" w:rsidRPr="008420D0">
        <w:rPr>
          <w:rFonts w:ascii="Times New Roman" w:hAnsi="Times New Roman" w:cs="Times New Roman"/>
          <w:b/>
          <w:sz w:val="24"/>
          <w:szCs w:val="24"/>
        </w:rPr>
        <w:t xml:space="preserve">rior to the </w:t>
      </w:r>
      <w:r w:rsidRPr="008420D0">
        <w:rPr>
          <w:rFonts w:ascii="Times New Roman" w:hAnsi="Times New Roman" w:cs="Times New Roman"/>
          <w:b/>
          <w:sz w:val="24"/>
          <w:szCs w:val="24"/>
        </w:rPr>
        <w:t>H</w:t>
      </w:r>
      <w:r w:rsidR="00C83B50" w:rsidRPr="008420D0">
        <w:rPr>
          <w:rFonts w:ascii="Times New Roman" w:hAnsi="Times New Roman" w:cs="Times New Roman"/>
          <w:b/>
          <w:sz w:val="24"/>
          <w:szCs w:val="24"/>
        </w:rPr>
        <w:t>earing</w:t>
      </w:r>
    </w:p>
    <w:p w:rsidR="00C83B50" w:rsidRPr="008420D0" w:rsidRDefault="00C83B50" w:rsidP="00A807FA">
      <w:pPr>
        <w:pStyle w:val="ListParagraph"/>
        <w:widowControl w:val="0"/>
        <w:spacing w:line="480" w:lineRule="auto"/>
        <w:ind w:left="0" w:firstLine="720"/>
        <w:jc w:val="both"/>
        <w:rPr>
          <w:rFonts w:ascii="Times New Roman" w:hAnsi="Times New Roman"/>
        </w:rPr>
      </w:pPr>
      <w:r w:rsidRPr="008420D0">
        <w:rPr>
          <w:rFonts w:ascii="Times New Roman" w:hAnsi="Times New Roman"/>
        </w:rPr>
        <w:t xml:space="preserve">Second, the lender must name and give all debtors </w:t>
      </w:r>
      <w:r w:rsidRPr="008420D0">
        <w:rPr>
          <w:rFonts w:ascii="Times New Roman" w:hAnsi="Times New Roman"/>
          <w:u w:val="single"/>
        </w:rPr>
        <w:t>and</w:t>
      </w:r>
      <w:r w:rsidRPr="008420D0">
        <w:rPr>
          <w:rFonts w:ascii="Times New Roman" w:hAnsi="Times New Roman"/>
        </w:rPr>
        <w:t xml:space="preserve"> guarantors notice of the hearing.  O.C.G.A. § 44-14-161(c) requires the debtor be given at least five (5) days notice prior to the hearing confirming a foreclosure sale.  The term “debtor” includes all guarantors or other persons who could be subject to </w:t>
      </w:r>
      <w:r w:rsidR="009F75C4" w:rsidRPr="008420D0">
        <w:rPr>
          <w:rFonts w:ascii="Times New Roman" w:hAnsi="Times New Roman"/>
        </w:rPr>
        <w:t>a subsequent deficiency judgment</w:t>
      </w:r>
      <w:r w:rsidRPr="008420D0">
        <w:rPr>
          <w:rFonts w:ascii="Times New Roman" w:hAnsi="Times New Roman"/>
        </w:rPr>
        <w:t>.</w:t>
      </w:r>
      <w:r w:rsidRPr="008420D0">
        <w:rPr>
          <w:rStyle w:val="FootnoteReference"/>
          <w:rFonts w:ascii="Times New Roman" w:hAnsi="Times New Roman"/>
        </w:rPr>
        <w:footnoteReference w:id="37"/>
      </w:r>
      <w:r w:rsidRPr="008420D0">
        <w:rPr>
          <w:rFonts w:ascii="Times New Roman" w:hAnsi="Times New Roman"/>
        </w:rPr>
        <w:t xml:space="preserve">  </w:t>
      </w:r>
    </w:p>
    <w:p w:rsidR="00C83B50" w:rsidRPr="008420D0" w:rsidRDefault="00C83B50" w:rsidP="00A807FA">
      <w:pPr>
        <w:pStyle w:val="ListParagraph"/>
        <w:widowControl w:val="0"/>
        <w:spacing w:line="480" w:lineRule="auto"/>
        <w:ind w:left="0" w:firstLine="720"/>
        <w:jc w:val="both"/>
        <w:rPr>
          <w:rFonts w:ascii="Times New Roman" w:hAnsi="Times New Roman"/>
        </w:rPr>
      </w:pPr>
      <w:r w:rsidRPr="008420D0">
        <w:rPr>
          <w:rFonts w:ascii="Times New Roman" w:hAnsi="Times New Roman"/>
        </w:rPr>
        <w:t xml:space="preserve">Note that </w:t>
      </w:r>
      <w:r w:rsidRPr="008420D0">
        <w:rPr>
          <w:rFonts w:ascii="Times New Roman" w:hAnsi="Times New Roman"/>
          <w:i/>
        </w:rPr>
        <w:t>personal service</w:t>
      </w:r>
      <w:r w:rsidRPr="008420D0">
        <w:rPr>
          <w:rFonts w:ascii="Times New Roman" w:hAnsi="Times New Roman"/>
        </w:rPr>
        <w:t xml:space="preserve"> of the notice of hearing is required under the confirmation statute.</w:t>
      </w:r>
      <w:r w:rsidRPr="008420D0">
        <w:rPr>
          <w:rStyle w:val="FootnoteReference"/>
          <w:rFonts w:ascii="Times New Roman" w:hAnsi="Times New Roman"/>
        </w:rPr>
        <w:footnoteReference w:id="38"/>
      </w:r>
      <w:r w:rsidRPr="008420D0">
        <w:rPr>
          <w:rFonts w:ascii="Times New Roman" w:hAnsi="Times New Roman"/>
        </w:rPr>
        <w:t xml:space="preserve">  Failure to personally serve the notice of hearing on a respondent to a confirmation action precludes a bank from subsequently seeking a deficiency against the respondent that was not personally served.</w:t>
      </w:r>
      <w:r w:rsidRPr="008420D0">
        <w:rPr>
          <w:rStyle w:val="FootnoteReference"/>
          <w:rFonts w:ascii="Times New Roman" w:hAnsi="Times New Roman"/>
        </w:rPr>
        <w:footnoteReference w:id="39"/>
      </w:r>
      <w:r w:rsidRPr="008420D0">
        <w:rPr>
          <w:rFonts w:ascii="Times New Roman" w:hAnsi="Times New Roman"/>
        </w:rPr>
        <w:t xml:space="preserve">  The fact that the respondent (or his attorneys) has actual knowledge of the hearing is insufficient.  “It is of no moment that the debtor had actual notice of the confirmation hearing . . . for actual notice will not cure the failure to comply with the statute as to confirmation.”</w:t>
      </w:r>
      <w:r w:rsidRPr="008420D0">
        <w:rPr>
          <w:rStyle w:val="FootnoteReference"/>
          <w:rFonts w:ascii="Times New Roman" w:hAnsi="Times New Roman"/>
        </w:rPr>
        <w:footnoteReference w:id="40"/>
      </w:r>
      <w:r w:rsidRPr="008420D0">
        <w:rPr>
          <w:rFonts w:ascii="Times New Roman" w:hAnsi="Times New Roman"/>
        </w:rPr>
        <w:t xml:space="preserve">  </w:t>
      </w:r>
    </w:p>
    <w:p w:rsidR="00C83B50" w:rsidRPr="008420D0" w:rsidRDefault="00C83B50" w:rsidP="00A807FA">
      <w:pPr>
        <w:pStyle w:val="ListParagraph"/>
        <w:widowControl w:val="0"/>
        <w:spacing w:line="480" w:lineRule="auto"/>
        <w:ind w:left="0" w:firstLine="720"/>
        <w:jc w:val="both"/>
        <w:rPr>
          <w:rFonts w:ascii="Times New Roman" w:hAnsi="Times New Roman"/>
        </w:rPr>
      </w:pPr>
      <w:r w:rsidRPr="008420D0">
        <w:rPr>
          <w:rFonts w:ascii="Times New Roman" w:hAnsi="Times New Roman"/>
        </w:rPr>
        <w:t xml:space="preserve">In practice, this can happen quite often: opposing counsel for the lender does not personally serve the borrower or guarantor and sends counsel an email with a copy of the hearing notice.  Unless counsel </w:t>
      </w:r>
      <w:r w:rsidR="008676C2" w:rsidRPr="008420D0">
        <w:rPr>
          <w:rFonts w:ascii="Times New Roman" w:hAnsi="Times New Roman"/>
        </w:rPr>
        <w:t>has</w:t>
      </w:r>
      <w:r w:rsidRPr="008420D0">
        <w:rPr>
          <w:rFonts w:ascii="Times New Roman" w:hAnsi="Times New Roman"/>
        </w:rPr>
        <w:t xml:space="preserve"> agreed to acknowledge service on behalf of her client, this is insufficient under the law.  While some judges will simply continue the case until the respondents can be personally served, some judges are so fed up with bank shenanigans and failure to follow the statute that some will “strongly suggest” that the bank settle at that point.  </w:t>
      </w:r>
    </w:p>
    <w:p w:rsidR="00C83B50" w:rsidRPr="008420D0" w:rsidRDefault="008676C2" w:rsidP="001D7912">
      <w:pPr>
        <w:widowControl w:val="0"/>
        <w:spacing w:after="240" w:line="240" w:lineRule="auto"/>
        <w:ind w:left="2880" w:hanging="720"/>
        <w:jc w:val="both"/>
        <w:rPr>
          <w:rFonts w:ascii="Times New Roman" w:hAnsi="Times New Roman" w:cs="Times New Roman"/>
          <w:b/>
          <w:sz w:val="24"/>
          <w:szCs w:val="24"/>
        </w:rPr>
      </w:pPr>
      <w:r w:rsidRPr="008420D0">
        <w:rPr>
          <w:rFonts w:ascii="Times New Roman" w:hAnsi="Times New Roman" w:cs="Times New Roman"/>
          <w:b/>
          <w:sz w:val="24"/>
          <w:szCs w:val="24"/>
        </w:rPr>
        <w:lastRenderedPageBreak/>
        <w:t>iii.</w:t>
      </w:r>
      <w:r w:rsidRPr="008420D0">
        <w:rPr>
          <w:rFonts w:ascii="Times New Roman" w:hAnsi="Times New Roman" w:cs="Times New Roman"/>
          <w:b/>
          <w:sz w:val="24"/>
          <w:szCs w:val="24"/>
        </w:rPr>
        <w:tab/>
      </w:r>
      <w:r w:rsidR="00C83B50" w:rsidRPr="008420D0">
        <w:rPr>
          <w:rFonts w:ascii="Times New Roman" w:hAnsi="Times New Roman" w:cs="Times New Roman"/>
          <w:b/>
          <w:sz w:val="24"/>
          <w:szCs w:val="24"/>
        </w:rPr>
        <w:t xml:space="preserve">The </w:t>
      </w:r>
      <w:r w:rsidRPr="008420D0">
        <w:rPr>
          <w:rFonts w:ascii="Times New Roman" w:hAnsi="Times New Roman" w:cs="Times New Roman"/>
          <w:b/>
          <w:sz w:val="24"/>
          <w:szCs w:val="24"/>
        </w:rPr>
        <w:t>l</w:t>
      </w:r>
      <w:r w:rsidR="00C83B50" w:rsidRPr="008420D0">
        <w:rPr>
          <w:rFonts w:ascii="Times New Roman" w:hAnsi="Times New Roman" w:cs="Times New Roman"/>
          <w:b/>
          <w:sz w:val="24"/>
          <w:szCs w:val="24"/>
        </w:rPr>
        <w:t xml:space="preserve">ender must name all parties </w:t>
      </w:r>
      <w:r w:rsidRPr="008420D0">
        <w:rPr>
          <w:rFonts w:ascii="Times New Roman" w:hAnsi="Times New Roman" w:cs="Times New Roman"/>
          <w:b/>
          <w:sz w:val="24"/>
          <w:szCs w:val="24"/>
        </w:rPr>
        <w:t>against</w:t>
      </w:r>
      <w:r w:rsidR="00C83B50" w:rsidRPr="008420D0">
        <w:rPr>
          <w:rFonts w:ascii="Times New Roman" w:hAnsi="Times New Roman" w:cs="Times New Roman"/>
          <w:b/>
          <w:sz w:val="24"/>
          <w:szCs w:val="24"/>
        </w:rPr>
        <w:t xml:space="preserve"> </w:t>
      </w:r>
      <w:r w:rsidRPr="008420D0">
        <w:rPr>
          <w:rFonts w:ascii="Times New Roman" w:hAnsi="Times New Roman" w:cs="Times New Roman"/>
          <w:b/>
          <w:sz w:val="24"/>
          <w:szCs w:val="24"/>
        </w:rPr>
        <w:t>whom</w:t>
      </w:r>
      <w:r w:rsidR="00C83B50" w:rsidRPr="008420D0">
        <w:rPr>
          <w:rFonts w:ascii="Times New Roman" w:hAnsi="Times New Roman" w:cs="Times New Roman"/>
          <w:b/>
          <w:sz w:val="24"/>
          <w:szCs w:val="24"/>
        </w:rPr>
        <w:t xml:space="preserve"> it seeks a deficiency</w:t>
      </w:r>
      <w:r w:rsidRPr="008420D0">
        <w:rPr>
          <w:rFonts w:ascii="Times New Roman" w:hAnsi="Times New Roman" w:cs="Times New Roman"/>
          <w:b/>
          <w:sz w:val="24"/>
          <w:szCs w:val="24"/>
        </w:rPr>
        <w:t>.</w:t>
      </w:r>
    </w:p>
    <w:p w:rsidR="00C83B50" w:rsidRPr="008420D0" w:rsidRDefault="00C83B50" w:rsidP="00A807FA">
      <w:pPr>
        <w:pStyle w:val="ListParagraph"/>
        <w:widowControl w:val="0"/>
        <w:spacing w:line="480" w:lineRule="auto"/>
        <w:ind w:left="0" w:firstLine="720"/>
        <w:jc w:val="both"/>
        <w:rPr>
          <w:rFonts w:ascii="Times New Roman" w:hAnsi="Times New Roman"/>
        </w:rPr>
      </w:pPr>
      <w:r w:rsidRPr="008420D0">
        <w:rPr>
          <w:rFonts w:ascii="Times New Roman" w:hAnsi="Times New Roman"/>
        </w:rPr>
        <w:t xml:space="preserve">Failure to </w:t>
      </w:r>
      <w:r w:rsidRPr="008420D0">
        <w:rPr>
          <w:rFonts w:ascii="Times New Roman" w:hAnsi="Times New Roman"/>
          <w:u w:val="single"/>
        </w:rPr>
        <w:t>name</w:t>
      </w:r>
      <w:r w:rsidRPr="008420D0">
        <w:rPr>
          <w:rFonts w:ascii="Times New Roman" w:hAnsi="Times New Roman"/>
        </w:rPr>
        <w:t xml:space="preserve"> the guarantor as a party to a confirmation action and personally serve him with notice of the hearing bars a subsequent deficiency action against him.  In </w:t>
      </w:r>
      <w:r w:rsidRPr="008420D0">
        <w:rPr>
          <w:rFonts w:ascii="Times New Roman" w:hAnsi="Times New Roman"/>
          <w:u w:val="single"/>
        </w:rPr>
        <w:t>First National Bank &amp; Trust Company v. Kunes</w:t>
      </w:r>
      <w:r w:rsidRPr="008420D0">
        <w:rPr>
          <w:rFonts w:ascii="Times New Roman" w:hAnsi="Times New Roman"/>
        </w:rPr>
        <w:t>, the lender brought a deficiency action against a corporate debtor and two individual guarantors.</w:t>
      </w:r>
      <w:r w:rsidRPr="008420D0">
        <w:rPr>
          <w:rStyle w:val="FootnoteReference"/>
          <w:rFonts w:ascii="Times New Roman" w:hAnsi="Times New Roman"/>
        </w:rPr>
        <w:footnoteReference w:id="41"/>
      </w:r>
      <w:r w:rsidRPr="008420D0">
        <w:rPr>
          <w:rFonts w:ascii="Times New Roman" w:hAnsi="Times New Roman"/>
        </w:rPr>
        <w:t xml:space="preserve">  The Court of Appeals affirmed the trial court’s dismissal of the two individual guarantors because the lender did not name and serve the individual guarantors in the confirmation action.</w:t>
      </w:r>
      <w:r w:rsidRPr="008420D0">
        <w:rPr>
          <w:rFonts w:ascii="Times New Roman" w:hAnsi="Times New Roman"/>
          <w:vertAlign w:val="superscript"/>
        </w:rPr>
        <w:footnoteReference w:id="42"/>
      </w:r>
      <w:r w:rsidRPr="008420D0">
        <w:rPr>
          <w:rFonts w:ascii="Times New Roman" w:hAnsi="Times New Roman"/>
        </w:rPr>
        <w:t xml:space="preserve">  The court explained that because the individuals were not mentioned in the confirmation action, the lender did not comply with the statute and was barred from seeking a deficiency judgment against them.</w:t>
      </w:r>
      <w:r w:rsidRPr="008420D0">
        <w:rPr>
          <w:rFonts w:ascii="Times New Roman" w:hAnsi="Times New Roman"/>
          <w:vertAlign w:val="superscript"/>
        </w:rPr>
        <w:footnoteReference w:id="43"/>
      </w:r>
      <w:r w:rsidRPr="008420D0">
        <w:rPr>
          <w:rFonts w:ascii="Times New Roman" w:hAnsi="Times New Roman"/>
        </w:rPr>
        <w:t xml:space="preserve">  Moreover, in affirming this holding, the Georgia Supreme Court held that “actual notice or knowledge will not cure the failure to comply with the statute as to confirmation.  A party is not bound by every court proceeding of which he has knowledge.”</w:t>
      </w:r>
      <w:r w:rsidRPr="008420D0">
        <w:rPr>
          <w:rFonts w:ascii="Times New Roman" w:hAnsi="Times New Roman"/>
          <w:vertAlign w:val="superscript"/>
        </w:rPr>
        <w:footnoteReference w:id="44"/>
      </w:r>
      <w:r w:rsidRPr="008420D0">
        <w:rPr>
          <w:rFonts w:ascii="Times New Roman" w:hAnsi="Times New Roman"/>
        </w:rPr>
        <w:t xml:space="preserve">  </w:t>
      </w:r>
    </w:p>
    <w:p w:rsidR="00C83B50" w:rsidRPr="008420D0" w:rsidRDefault="00C83B50" w:rsidP="00A807FA">
      <w:pPr>
        <w:pStyle w:val="ListParagraph"/>
        <w:widowControl w:val="0"/>
        <w:spacing w:line="480" w:lineRule="auto"/>
        <w:ind w:left="0" w:firstLine="720"/>
        <w:jc w:val="both"/>
        <w:rPr>
          <w:rFonts w:ascii="Times New Roman" w:hAnsi="Times New Roman"/>
        </w:rPr>
      </w:pPr>
      <w:r w:rsidRPr="008420D0">
        <w:rPr>
          <w:rFonts w:ascii="Times New Roman" w:hAnsi="Times New Roman"/>
        </w:rPr>
        <w:t xml:space="preserve">Service upon counsel for the guarantor </w:t>
      </w:r>
      <w:r w:rsidR="008676C2" w:rsidRPr="008420D0">
        <w:rPr>
          <w:rFonts w:ascii="Times New Roman" w:hAnsi="Times New Roman"/>
        </w:rPr>
        <w:t>is also</w:t>
      </w:r>
      <w:r w:rsidRPr="008420D0">
        <w:rPr>
          <w:rFonts w:ascii="Times New Roman" w:hAnsi="Times New Roman"/>
        </w:rPr>
        <w:t xml:space="preserve"> insufficient.  In </w:t>
      </w:r>
      <w:r w:rsidRPr="008420D0">
        <w:rPr>
          <w:rFonts w:ascii="Times New Roman" w:hAnsi="Times New Roman"/>
          <w:u w:val="single"/>
        </w:rPr>
        <w:t xml:space="preserve">Hometown Bank v. Second Avenue Development, Inc., </w:t>
      </w:r>
      <w:r w:rsidRPr="008420D0">
        <w:rPr>
          <w:rFonts w:ascii="Times New Roman" w:hAnsi="Times New Roman"/>
          <w:i/>
          <w:u w:val="single"/>
        </w:rPr>
        <w:t>et al.</w:t>
      </w:r>
      <w:r w:rsidRPr="008420D0">
        <w:rPr>
          <w:rFonts w:ascii="Times New Roman" w:hAnsi="Times New Roman"/>
        </w:rPr>
        <w:t xml:space="preserve">, the </w:t>
      </w:r>
      <w:r w:rsidR="008676C2" w:rsidRPr="008420D0">
        <w:rPr>
          <w:rFonts w:ascii="Times New Roman" w:hAnsi="Times New Roman"/>
        </w:rPr>
        <w:t xml:space="preserve">trial </w:t>
      </w:r>
      <w:r w:rsidRPr="008420D0">
        <w:rPr>
          <w:rFonts w:ascii="Times New Roman" w:hAnsi="Times New Roman"/>
        </w:rPr>
        <w:t xml:space="preserve">court dismissed a deficiency action against the guarantor where the guarantor </w:t>
      </w:r>
      <w:r w:rsidR="008676C2" w:rsidRPr="008420D0">
        <w:rPr>
          <w:rFonts w:ascii="Times New Roman" w:hAnsi="Times New Roman"/>
        </w:rPr>
        <w:t>was</w:t>
      </w:r>
      <w:r w:rsidRPr="008420D0">
        <w:rPr>
          <w:rFonts w:ascii="Times New Roman" w:hAnsi="Times New Roman"/>
        </w:rPr>
        <w:t xml:space="preserve"> not named in the confirmation action and </w:t>
      </w:r>
      <w:r w:rsidR="008676C2" w:rsidRPr="008420D0">
        <w:rPr>
          <w:rFonts w:ascii="Times New Roman" w:hAnsi="Times New Roman"/>
        </w:rPr>
        <w:t>was</w:t>
      </w:r>
      <w:r w:rsidRPr="008420D0">
        <w:rPr>
          <w:rFonts w:ascii="Times New Roman" w:hAnsi="Times New Roman"/>
        </w:rPr>
        <w:t xml:space="preserve"> not personally served with notice of the hearing.</w:t>
      </w:r>
      <w:r w:rsidRPr="008420D0">
        <w:rPr>
          <w:rStyle w:val="FootnoteReference"/>
          <w:rFonts w:ascii="Times New Roman" w:hAnsi="Times New Roman"/>
        </w:rPr>
        <w:footnoteReference w:id="45"/>
      </w:r>
      <w:r w:rsidRPr="008420D0">
        <w:rPr>
          <w:rFonts w:ascii="Times New Roman" w:hAnsi="Times New Roman"/>
        </w:rPr>
        <w:t xml:space="preserve">  Counsel for Hometown Bank argued that because guarantor’s counsel also represented Second Avenue Development, Inc., which </w:t>
      </w:r>
      <w:r w:rsidR="008676C2" w:rsidRPr="008420D0">
        <w:rPr>
          <w:rFonts w:ascii="Times New Roman" w:hAnsi="Times New Roman"/>
        </w:rPr>
        <w:t>was</w:t>
      </w:r>
      <w:r w:rsidRPr="008420D0">
        <w:rPr>
          <w:rFonts w:ascii="Times New Roman" w:hAnsi="Times New Roman"/>
        </w:rPr>
        <w:t xml:space="preserve"> named and served, the guarantor had knowledge of the hearing.</w:t>
      </w:r>
      <w:r w:rsidRPr="008420D0">
        <w:rPr>
          <w:rStyle w:val="FootnoteReference"/>
          <w:rFonts w:ascii="Times New Roman" w:hAnsi="Times New Roman"/>
        </w:rPr>
        <w:footnoteReference w:id="46"/>
      </w:r>
      <w:r w:rsidRPr="008420D0">
        <w:rPr>
          <w:rFonts w:ascii="Times New Roman" w:hAnsi="Times New Roman"/>
        </w:rPr>
        <w:t xml:space="preserve">  Citing </w:t>
      </w:r>
      <w:r w:rsidRPr="008420D0">
        <w:rPr>
          <w:rFonts w:ascii="Times New Roman" w:hAnsi="Times New Roman"/>
          <w:u w:val="single"/>
        </w:rPr>
        <w:t>Ameribank</w:t>
      </w:r>
      <w:r w:rsidRPr="008420D0">
        <w:rPr>
          <w:rFonts w:ascii="Times New Roman" w:hAnsi="Times New Roman"/>
        </w:rPr>
        <w:t xml:space="preserve">, the court noted, “the Supreme Court [has] reasserted its position that a dismissal against individual debtors is </w:t>
      </w:r>
      <w:r w:rsidRPr="008420D0">
        <w:rPr>
          <w:rFonts w:ascii="Times New Roman" w:hAnsi="Times New Roman"/>
        </w:rPr>
        <w:lastRenderedPageBreak/>
        <w:t>warranted where ‘the debtors were not named as parties in the confirmation petition, and the court-issued notice of the hearing was not directed to them.’”</w:t>
      </w:r>
      <w:r w:rsidRPr="008420D0">
        <w:rPr>
          <w:rStyle w:val="FootnoteReference"/>
          <w:rFonts w:ascii="Times New Roman" w:hAnsi="Times New Roman"/>
        </w:rPr>
        <w:footnoteReference w:id="47"/>
      </w:r>
      <w:r w:rsidRPr="008420D0">
        <w:rPr>
          <w:rFonts w:ascii="Times New Roman" w:hAnsi="Times New Roman"/>
        </w:rPr>
        <w:t xml:space="preserve">  </w:t>
      </w:r>
    </w:p>
    <w:p w:rsidR="00C83B50" w:rsidRPr="008420D0" w:rsidRDefault="008676C2" w:rsidP="00A807FA">
      <w:pPr>
        <w:pStyle w:val="BodyText"/>
        <w:widowControl w:val="0"/>
        <w:ind w:firstLine="720"/>
        <w:jc w:val="both"/>
        <w:rPr>
          <w:b/>
          <w:szCs w:val="24"/>
          <w:u w:val="single"/>
        </w:rPr>
      </w:pPr>
      <w:r w:rsidRPr="008420D0">
        <w:rPr>
          <w:b/>
          <w:szCs w:val="24"/>
        </w:rPr>
        <w:t>B.</w:t>
      </w:r>
      <w:r w:rsidRPr="008420D0">
        <w:rPr>
          <w:b/>
          <w:szCs w:val="24"/>
        </w:rPr>
        <w:tab/>
      </w:r>
      <w:r w:rsidR="00C83B50" w:rsidRPr="008420D0">
        <w:rPr>
          <w:b/>
          <w:szCs w:val="24"/>
          <w:u w:val="single"/>
        </w:rPr>
        <w:t>The Petitioner Must Prove the Regularity of the Sale</w:t>
      </w:r>
    </w:p>
    <w:p w:rsidR="00C83B50" w:rsidRPr="008420D0" w:rsidRDefault="00C83B50" w:rsidP="00A807FA">
      <w:pPr>
        <w:widowControl w:val="0"/>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The lender must show it complied with statutory requirements as to “notice, advertisement, and regularity of the sale.”</w:t>
      </w:r>
      <w:r w:rsidRPr="008420D0">
        <w:rPr>
          <w:rStyle w:val="FootnoteReference"/>
          <w:rFonts w:ascii="Times New Roman" w:hAnsi="Times New Roman" w:cs="Times New Roman"/>
          <w:sz w:val="24"/>
          <w:szCs w:val="24"/>
        </w:rPr>
        <w:footnoteReference w:id="48"/>
      </w:r>
      <w:r w:rsidRPr="008420D0">
        <w:rPr>
          <w:rFonts w:ascii="Times New Roman" w:hAnsi="Times New Roman" w:cs="Times New Roman"/>
          <w:sz w:val="24"/>
          <w:szCs w:val="24"/>
        </w:rPr>
        <w:t xml:space="preserve">  </w:t>
      </w:r>
    </w:p>
    <w:p w:rsidR="00C83B50" w:rsidRPr="008420D0" w:rsidRDefault="008676C2" w:rsidP="00A807FA">
      <w:pPr>
        <w:widowControl w:val="0"/>
        <w:spacing w:after="0" w:line="480" w:lineRule="auto"/>
        <w:ind w:left="720" w:firstLine="720"/>
        <w:jc w:val="both"/>
        <w:rPr>
          <w:rFonts w:ascii="Times New Roman" w:hAnsi="Times New Roman" w:cs="Times New Roman"/>
          <w:b/>
          <w:sz w:val="24"/>
          <w:szCs w:val="24"/>
        </w:rPr>
      </w:pPr>
      <w:r w:rsidRPr="008420D0">
        <w:rPr>
          <w:rFonts w:ascii="Times New Roman" w:hAnsi="Times New Roman" w:cs="Times New Roman"/>
          <w:b/>
          <w:sz w:val="24"/>
          <w:szCs w:val="24"/>
        </w:rPr>
        <w:t>1.</w:t>
      </w:r>
      <w:r w:rsidRPr="008420D0">
        <w:rPr>
          <w:rFonts w:ascii="Times New Roman" w:hAnsi="Times New Roman" w:cs="Times New Roman"/>
          <w:b/>
          <w:sz w:val="24"/>
          <w:szCs w:val="24"/>
        </w:rPr>
        <w:tab/>
      </w:r>
      <w:r w:rsidR="00C83B50" w:rsidRPr="008420D0">
        <w:rPr>
          <w:rFonts w:ascii="Times New Roman" w:hAnsi="Times New Roman" w:cs="Times New Roman"/>
          <w:b/>
          <w:sz w:val="24"/>
          <w:szCs w:val="24"/>
        </w:rPr>
        <w:t>Notice of the Sale</w:t>
      </w:r>
    </w:p>
    <w:p w:rsidR="00C83B50" w:rsidRPr="008420D0" w:rsidRDefault="00E06F7D" w:rsidP="00A807FA">
      <w:pPr>
        <w:widowControl w:val="0"/>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“A [trial] court should not confirm a sale under power if there is no evidence that the debtor was properly notified of the sale in accordance with [O.C.G.A. § 44-14-162.1].”</w:t>
      </w:r>
      <w:r w:rsidRPr="008420D0">
        <w:rPr>
          <w:rStyle w:val="FootnoteReference"/>
          <w:rFonts w:ascii="Times New Roman" w:hAnsi="Times New Roman" w:cs="Times New Roman"/>
          <w:sz w:val="24"/>
          <w:szCs w:val="24"/>
        </w:rPr>
        <w:footnoteReference w:id="49"/>
      </w:r>
      <w:r w:rsidRPr="008420D0">
        <w:rPr>
          <w:rFonts w:ascii="Times New Roman" w:hAnsi="Times New Roman" w:cs="Times New Roman"/>
          <w:sz w:val="24"/>
          <w:szCs w:val="24"/>
        </w:rPr>
        <w:t xml:space="preserve">  Additionally, all deeds under power shall contain recitals that notice was given in compliance with O.C.G.A. § 44-14-162.2.</w:t>
      </w:r>
    </w:p>
    <w:p w:rsidR="00C83B50" w:rsidRPr="008420D0" w:rsidRDefault="00E06F7D" w:rsidP="00A807FA">
      <w:pPr>
        <w:keepNext/>
        <w:widowControl w:val="0"/>
        <w:spacing w:after="0" w:line="480" w:lineRule="auto"/>
        <w:ind w:left="720" w:firstLine="720"/>
        <w:jc w:val="both"/>
        <w:rPr>
          <w:rFonts w:ascii="Times New Roman" w:hAnsi="Times New Roman" w:cs="Times New Roman"/>
          <w:b/>
          <w:sz w:val="24"/>
          <w:szCs w:val="24"/>
        </w:rPr>
      </w:pPr>
      <w:r w:rsidRPr="008420D0">
        <w:rPr>
          <w:rFonts w:ascii="Times New Roman" w:hAnsi="Times New Roman" w:cs="Times New Roman"/>
          <w:b/>
          <w:sz w:val="24"/>
          <w:szCs w:val="24"/>
        </w:rPr>
        <w:t>2.</w:t>
      </w:r>
      <w:r w:rsidRPr="008420D0">
        <w:rPr>
          <w:rFonts w:ascii="Times New Roman" w:hAnsi="Times New Roman" w:cs="Times New Roman"/>
          <w:b/>
          <w:sz w:val="24"/>
          <w:szCs w:val="24"/>
        </w:rPr>
        <w:tab/>
      </w:r>
      <w:r w:rsidR="00C83B50" w:rsidRPr="008420D0">
        <w:rPr>
          <w:rFonts w:ascii="Times New Roman" w:hAnsi="Times New Roman" w:cs="Times New Roman"/>
          <w:b/>
          <w:sz w:val="24"/>
          <w:szCs w:val="24"/>
        </w:rPr>
        <w:t>Advertisement of the Sale</w:t>
      </w:r>
    </w:p>
    <w:p w:rsidR="00C83B50" w:rsidRPr="008420D0" w:rsidRDefault="00C83B50" w:rsidP="00A807FA">
      <w:pPr>
        <w:pStyle w:val="ListParagraph"/>
        <w:widowControl w:val="0"/>
        <w:spacing w:line="480" w:lineRule="auto"/>
        <w:ind w:left="0" w:firstLine="720"/>
        <w:contextualSpacing w:val="0"/>
        <w:jc w:val="both"/>
        <w:rPr>
          <w:rFonts w:ascii="Times New Roman" w:hAnsi="Times New Roman"/>
        </w:rPr>
      </w:pPr>
      <w:r w:rsidRPr="008420D0">
        <w:rPr>
          <w:rFonts w:ascii="Times New Roman" w:hAnsi="Times New Roman"/>
        </w:rPr>
        <w:t>The court should set aside a foreclosure sale when the advertisement does not substantially meet the legal requirements.</w:t>
      </w:r>
      <w:r w:rsidRPr="008420D0">
        <w:rPr>
          <w:rFonts w:ascii="Times New Roman" w:hAnsi="Times New Roman"/>
          <w:vertAlign w:val="superscript"/>
        </w:rPr>
        <w:footnoteReference w:id="50"/>
      </w:r>
      <w:r w:rsidRPr="008420D0">
        <w:rPr>
          <w:rFonts w:ascii="Times New Roman" w:hAnsi="Times New Roman"/>
        </w:rPr>
        <w:t xml:space="preserve">  An advertisement is legally insufficient when the irregularity or deficiency contributes to chilling the price on the sale of the property.</w:t>
      </w:r>
      <w:r w:rsidRPr="008420D0">
        <w:rPr>
          <w:rFonts w:ascii="Times New Roman" w:hAnsi="Times New Roman"/>
          <w:vertAlign w:val="superscript"/>
        </w:rPr>
        <w:footnoteReference w:id="51"/>
      </w:r>
      <w:r w:rsidRPr="008420D0">
        <w:rPr>
          <w:rFonts w:ascii="Times New Roman" w:hAnsi="Times New Roman"/>
        </w:rPr>
        <w:t xml:space="preserve">  “A primary object of the advertisement is to attract buyers who will compete against one another so as to yield the highest price; its contents are important to the process.”</w:t>
      </w:r>
      <w:r w:rsidRPr="008420D0">
        <w:rPr>
          <w:rFonts w:ascii="Times New Roman" w:hAnsi="Times New Roman"/>
          <w:vertAlign w:val="superscript"/>
        </w:rPr>
        <w:footnoteReference w:id="52"/>
      </w:r>
      <w:r w:rsidRPr="008420D0">
        <w:rPr>
          <w:rFonts w:ascii="Times New Roman" w:hAnsi="Times New Roman"/>
        </w:rPr>
        <w:t xml:space="preserve">  If the advertisement is not done, the sale is not valid.</w:t>
      </w:r>
      <w:r w:rsidRPr="008420D0">
        <w:rPr>
          <w:rStyle w:val="FootnoteReference"/>
          <w:rFonts w:ascii="Times New Roman" w:hAnsi="Times New Roman"/>
        </w:rPr>
        <w:footnoteReference w:id="53"/>
      </w:r>
      <w:r w:rsidRPr="008420D0">
        <w:rPr>
          <w:rFonts w:ascii="Times New Roman" w:hAnsi="Times New Roman"/>
        </w:rPr>
        <w:t xml:space="preserve">  </w:t>
      </w:r>
      <w:r w:rsidR="00E06F7D" w:rsidRPr="008420D0">
        <w:rPr>
          <w:rFonts w:ascii="Times New Roman" w:hAnsi="Times New Roman"/>
        </w:rPr>
        <w:t>D</w:t>
      </w:r>
      <w:r w:rsidRPr="008420D0">
        <w:rPr>
          <w:rFonts w:ascii="Times New Roman" w:hAnsi="Times New Roman"/>
        </w:rPr>
        <w:t>efects in advertisement</w:t>
      </w:r>
      <w:r w:rsidR="00E06F7D" w:rsidRPr="008420D0">
        <w:rPr>
          <w:rFonts w:ascii="Times New Roman" w:hAnsi="Times New Roman"/>
        </w:rPr>
        <w:t>, however,</w:t>
      </w:r>
      <w:r w:rsidRPr="008420D0">
        <w:rPr>
          <w:rFonts w:ascii="Times New Roman" w:hAnsi="Times New Roman"/>
        </w:rPr>
        <w:t xml:space="preserve"> will not bar confirmation </w:t>
      </w:r>
      <w:r w:rsidRPr="008420D0">
        <w:rPr>
          <w:rFonts w:ascii="Times New Roman" w:hAnsi="Times New Roman"/>
        </w:rPr>
        <w:lastRenderedPageBreak/>
        <w:t>unless there is a substantial defect that chilled the bidding.</w:t>
      </w:r>
      <w:r w:rsidRPr="008420D0">
        <w:rPr>
          <w:rStyle w:val="FootnoteReference"/>
          <w:rFonts w:ascii="Times New Roman" w:hAnsi="Times New Roman"/>
        </w:rPr>
        <w:footnoteReference w:id="54"/>
      </w:r>
      <w:r w:rsidRPr="008420D0">
        <w:rPr>
          <w:rFonts w:ascii="Times New Roman" w:hAnsi="Times New Roman"/>
        </w:rPr>
        <w:t xml:space="preserve">    </w:t>
      </w:r>
    </w:p>
    <w:p w:rsidR="00C83B50" w:rsidRPr="008420D0" w:rsidRDefault="00E06F7D" w:rsidP="00A807FA">
      <w:pPr>
        <w:widowControl w:val="0"/>
        <w:spacing w:after="0" w:line="480" w:lineRule="auto"/>
        <w:ind w:left="720" w:firstLine="720"/>
        <w:jc w:val="both"/>
        <w:rPr>
          <w:rFonts w:ascii="Times New Roman" w:hAnsi="Times New Roman" w:cs="Times New Roman"/>
          <w:b/>
          <w:sz w:val="24"/>
          <w:szCs w:val="24"/>
        </w:rPr>
      </w:pPr>
      <w:r w:rsidRPr="008420D0">
        <w:rPr>
          <w:rFonts w:ascii="Times New Roman" w:hAnsi="Times New Roman" w:cs="Times New Roman"/>
          <w:b/>
          <w:sz w:val="24"/>
          <w:szCs w:val="24"/>
        </w:rPr>
        <w:t>3.</w:t>
      </w:r>
      <w:r w:rsidRPr="008420D0">
        <w:rPr>
          <w:rFonts w:ascii="Times New Roman" w:hAnsi="Times New Roman" w:cs="Times New Roman"/>
          <w:b/>
          <w:sz w:val="24"/>
          <w:szCs w:val="24"/>
        </w:rPr>
        <w:tab/>
      </w:r>
      <w:r w:rsidR="00C83B50" w:rsidRPr="008420D0">
        <w:rPr>
          <w:rFonts w:ascii="Times New Roman" w:hAnsi="Times New Roman" w:cs="Times New Roman"/>
          <w:b/>
          <w:sz w:val="24"/>
          <w:szCs w:val="24"/>
        </w:rPr>
        <w:t>Regularity of the Sale</w:t>
      </w:r>
    </w:p>
    <w:p w:rsidR="00C83B50" w:rsidRPr="008420D0" w:rsidRDefault="00C83B50" w:rsidP="00A807FA">
      <w:pPr>
        <w:pStyle w:val="ListParagraph"/>
        <w:widowControl w:val="0"/>
        <w:spacing w:line="480" w:lineRule="auto"/>
        <w:ind w:left="0" w:firstLine="720"/>
        <w:contextualSpacing w:val="0"/>
        <w:jc w:val="both"/>
        <w:rPr>
          <w:rFonts w:ascii="Times New Roman" w:hAnsi="Times New Roman"/>
        </w:rPr>
      </w:pPr>
      <w:r w:rsidRPr="008420D0">
        <w:rPr>
          <w:rFonts w:ascii="Times New Roman" w:hAnsi="Times New Roman"/>
        </w:rPr>
        <w:t>Regularity of the sale refers to the fact that the foreclosure sale must be conducted on the date, time and place which is required of sheriff’s sales.</w:t>
      </w:r>
      <w:r w:rsidRPr="008420D0">
        <w:rPr>
          <w:rStyle w:val="FootnoteReference"/>
          <w:rFonts w:ascii="Times New Roman" w:hAnsi="Times New Roman"/>
        </w:rPr>
        <w:footnoteReference w:id="55"/>
      </w:r>
      <w:r w:rsidR="009F75C4" w:rsidRPr="008420D0">
        <w:rPr>
          <w:rFonts w:ascii="Times New Roman" w:hAnsi="Times New Roman"/>
        </w:rPr>
        <w:t xml:space="preserve"> (See Section I.A.3., </w:t>
      </w:r>
      <w:r w:rsidR="009F75C4" w:rsidRPr="008420D0">
        <w:rPr>
          <w:rFonts w:ascii="Times New Roman" w:hAnsi="Times New Roman"/>
          <w:i/>
        </w:rPr>
        <w:t>supra</w:t>
      </w:r>
      <w:r w:rsidR="009F75C4" w:rsidRPr="008420D0">
        <w:rPr>
          <w:rFonts w:ascii="Times New Roman" w:hAnsi="Times New Roman"/>
        </w:rPr>
        <w:t>).</w:t>
      </w:r>
      <w:r w:rsidRPr="008420D0">
        <w:rPr>
          <w:rFonts w:ascii="Times New Roman" w:hAnsi="Times New Roman"/>
        </w:rPr>
        <w:t xml:space="preserve">  This means that the sale must be held during the hours of 10:oo AM -4:oo PM local time</w:t>
      </w:r>
      <w:r w:rsidRPr="008420D0">
        <w:rPr>
          <w:rStyle w:val="FootnoteReference"/>
          <w:rFonts w:ascii="Times New Roman" w:hAnsi="Times New Roman"/>
        </w:rPr>
        <w:footnoteReference w:id="56"/>
      </w:r>
      <w:r w:rsidRPr="008420D0">
        <w:rPr>
          <w:rFonts w:ascii="Times New Roman" w:hAnsi="Times New Roman"/>
        </w:rPr>
        <w:t>, on the first Tuesday of the month</w:t>
      </w:r>
      <w:r w:rsidRPr="008420D0">
        <w:rPr>
          <w:rStyle w:val="FootnoteReference"/>
          <w:rFonts w:ascii="Times New Roman" w:hAnsi="Times New Roman"/>
        </w:rPr>
        <w:footnoteReference w:id="57"/>
      </w:r>
      <w:r w:rsidRPr="008420D0">
        <w:rPr>
          <w:rFonts w:ascii="Times New Roman" w:hAnsi="Times New Roman"/>
        </w:rPr>
        <w:t>, on the steps of the county courthouse in which the property is located.</w:t>
      </w:r>
      <w:r w:rsidRPr="008420D0">
        <w:rPr>
          <w:rStyle w:val="FootnoteReference"/>
          <w:rFonts w:ascii="Times New Roman" w:hAnsi="Times New Roman"/>
        </w:rPr>
        <w:footnoteReference w:id="58"/>
      </w:r>
      <w:r w:rsidRPr="008420D0">
        <w:rPr>
          <w:rFonts w:ascii="Times New Roman" w:hAnsi="Times New Roman"/>
        </w:rPr>
        <w:t xml:space="preserve">  </w:t>
      </w:r>
      <w:r w:rsidR="00E06F7D" w:rsidRPr="008420D0">
        <w:rPr>
          <w:rFonts w:ascii="Times New Roman" w:hAnsi="Times New Roman"/>
        </w:rPr>
        <w:t>The trial court should deny confirmation</w:t>
      </w:r>
      <w:r w:rsidRPr="008420D0">
        <w:rPr>
          <w:rFonts w:ascii="Times New Roman" w:hAnsi="Times New Roman"/>
        </w:rPr>
        <w:t xml:space="preserve"> if the sale does not occur on the date listed in the notice.</w:t>
      </w:r>
      <w:r w:rsidRPr="008420D0">
        <w:rPr>
          <w:rStyle w:val="FootnoteReference"/>
          <w:rFonts w:ascii="Times New Roman" w:hAnsi="Times New Roman"/>
        </w:rPr>
        <w:footnoteReference w:id="59"/>
      </w:r>
      <w:r w:rsidRPr="008420D0">
        <w:rPr>
          <w:rFonts w:ascii="Times New Roman" w:hAnsi="Times New Roman"/>
        </w:rPr>
        <w:t xml:space="preserve">  </w:t>
      </w:r>
    </w:p>
    <w:p w:rsidR="00C83B50" w:rsidRPr="008420D0" w:rsidRDefault="00C83B50" w:rsidP="00A807FA">
      <w:pPr>
        <w:pStyle w:val="ListParagraph"/>
        <w:widowControl w:val="0"/>
        <w:spacing w:line="480" w:lineRule="auto"/>
        <w:ind w:left="0" w:firstLine="720"/>
        <w:contextualSpacing w:val="0"/>
        <w:jc w:val="both"/>
        <w:rPr>
          <w:rFonts w:ascii="Times New Roman" w:hAnsi="Times New Roman"/>
        </w:rPr>
      </w:pPr>
      <w:r w:rsidRPr="008420D0">
        <w:rPr>
          <w:rFonts w:ascii="Times New Roman" w:hAnsi="Times New Roman"/>
        </w:rPr>
        <w:t>Determining the regularity of the sale requires a careful reading of the Notice of Power Under Sale and the publisher’s affidavit, an affidavit from the legal organ of the county in which the sale is being cried out that attest to the advertisement having been run for four week</w:t>
      </w:r>
      <w:r w:rsidR="009F75C4" w:rsidRPr="008420D0">
        <w:rPr>
          <w:rFonts w:ascii="Times New Roman" w:hAnsi="Times New Roman"/>
        </w:rPr>
        <w:t>s</w:t>
      </w:r>
      <w:r w:rsidRPr="008420D0">
        <w:rPr>
          <w:rFonts w:ascii="Times New Roman" w:hAnsi="Times New Roman"/>
        </w:rPr>
        <w:t>.  Often times, determining the regularity of the sale itself requires a witness to attend the foreclosure hearing.  In doing this, you can ask where the person who cried out the sale stood (were they on the proper courthouse steps?</w:t>
      </w:r>
      <w:r w:rsidRPr="008420D0">
        <w:rPr>
          <w:rStyle w:val="FootnoteReference"/>
          <w:rFonts w:ascii="Times New Roman" w:hAnsi="Times New Roman"/>
        </w:rPr>
        <w:footnoteReference w:id="60"/>
      </w:r>
      <w:r w:rsidRPr="008420D0">
        <w:rPr>
          <w:rFonts w:ascii="Times New Roman" w:hAnsi="Times New Roman"/>
        </w:rPr>
        <w:t xml:space="preserve">), did </w:t>
      </w:r>
      <w:r w:rsidR="009F75C4" w:rsidRPr="008420D0">
        <w:rPr>
          <w:rFonts w:ascii="Times New Roman" w:hAnsi="Times New Roman"/>
        </w:rPr>
        <w:t>the crier</w:t>
      </w:r>
      <w:r w:rsidRPr="008420D0">
        <w:rPr>
          <w:rFonts w:ascii="Times New Roman" w:hAnsi="Times New Roman"/>
        </w:rPr>
        <w:t xml:space="preserve"> properly recite the Notice of Sale, did anyone inquire about the property or make an offer, and what time did </w:t>
      </w:r>
      <w:r w:rsidR="009F75C4" w:rsidRPr="008420D0">
        <w:rPr>
          <w:rFonts w:ascii="Times New Roman" w:hAnsi="Times New Roman"/>
        </w:rPr>
        <w:t>the lender</w:t>
      </w:r>
      <w:r w:rsidRPr="008420D0">
        <w:rPr>
          <w:rFonts w:ascii="Times New Roman" w:hAnsi="Times New Roman"/>
        </w:rPr>
        <w:t xml:space="preserve"> cry it out?  Lender’s counsel will often ask borrower’s counsel to stipulate as to the regularity of the sale, but unless you have done your research and know the lender’s counsel dotted all their i’s and crossed all </w:t>
      </w:r>
      <w:r w:rsidRPr="008420D0">
        <w:rPr>
          <w:rFonts w:ascii="Times New Roman" w:hAnsi="Times New Roman"/>
        </w:rPr>
        <w:lastRenderedPageBreak/>
        <w:t>their t’s, you coul</w:t>
      </w:r>
      <w:r w:rsidR="00E06F7D" w:rsidRPr="008420D0">
        <w:rPr>
          <w:rFonts w:ascii="Times New Roman" w:hAnsi="Times New Roman"/>
        </w:rPr>
        <w:t>d be giving up negotiating leve</w:t>
      </w:r>
      <w:r w:rsidRPr="008420D0">
        <w:rPr>
          <w:rFonts w:ascii="Times New Roman" w:hAnsi="Times New Roman"/>
        </w:rPr>
        <w:t>rage without knowing it.</w:t>
      </w:r>
    </w:p>
    <w:p w:rsidR="00C83B50" w:rsidRPr="008420D0" w:rsidRDefault="00E06F7D" w:rsidP="00A807FA">
      <w:pPr>
        <w:pStyle w:val="BodyText"/>
        <w:widowControl w:val="0"/>
        <w:ind w:firstLine="720"/>
        <w:jc w:val="both"/>
        <w:rPr>
          <w:b/>
          <w:szCs w:val="24"/>
        </w:rPr>
      </w:pPr>
      <w:r w:rsidRPr="008420D0">
        <w:rPr>
          <w:b/>
          <w:szCs w:val="24"/>
        </w:rPr>
        <w:t>C.</w:t>
      </w:r>
      <w:r w:rsidRPr="008420D0">
        <w:rPr>
          <w:b/>
          <w:szCs w:val="24"/>
        </w:rPr>
        <w:tab/>
      </w:r>
      <w:r w:rsidR="00C83B50" w:rsidRPr="008420D0">
        <w:rPr>
          <w:b/>
          <w:szCs w:val="24"/>
          <w:u w:val="single"/>
        </w:rPr>
        <w:t>Proving and Disproving “Fair Market Value”</w:t>
      </w:r>
    </w:p>
    <w:p w:rsidR="00C83B50" w:rsidRPr="008420D0" w:rsidRDefault="00C83B50" w:rsidP="00A807FA">
      <w:pPr>
        <w:pStyle w:val="BodyText"/>
        <w:widowControl w:val="0"/>
        <w:ind w:firstLine="720"/>
        <w:jc w:val="both"/>
        <w:rPr>
          <w:szCs w:val="24"/>
        </w:rPr>
      </w:pPr>
      <w:r w:rsidRPr="008420D0">
        <w:rPr>
          <w:szCs w:val="24"/>
        </w:rPr>
        <w:t>The lender has the burden of establishing that it sold the property at the foreclosure sale for its “true market value.”  O.C.G.A. § 44-14-161(b) provides:</w:t>
      </w:r>
    </w:p>
    <w:p w:rsidR="00C83B50" w:rsidRPr="008420D0" w:rsidRDefault="00C83B50" w:rsidP="00A807FA">
      <w:pPr>
        <w:pStyle w:val="BodyText"/>
        <w:keepNext/>
        <w:ind w:left="1440" w:right="1440"/>
        <w:jc w:val="both"/>
        <w:rPr>
          <w:szCs w:val="24"/>
        </w:rPr>
      </w:pPr>
      <w:r w:rsidRPr="008420D0">
        <w:rPr>
          <w:szCs w:val="24"/>
        </w:rPr>
        <w:t>The court shall require evidence to show the true market value of the property sold under the powers and shall not confirm the sale unless it is satisfied that the property so sold brought its true market value on such foreclosure sale.</w:t>
      </w:r>
    </w:p>
    <w:p w:rsidR="00C83B50" w:rsidRPr="008420D0" w:rsidRDefault="00C83B50" w:rsidP="00A807FA">
      <w:pPr>
        <w:widowControl w:val="0"/>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“True market value” is synonymous with fair market value.</w:t>
      </w:r>
      <w:r w:rsidRPr="008420D0">
        <w:rPr>
          <w:rStyle w:val="FootnoteReference"/>
          <w:rFonts w:ascii="Times New Roman" w:hAnsi="Times New Roman" w:cs="Times New Roman"/>
          <w:sz w:val="24"/>
          <w:szCs w:val="24"/>
        </w:rPr>
        <w:footnoteReference w:id="61"/>
      </w:r>
      <w:r w:rsidRPr="008420D0">
        <w:rPr>
          <w:rFonts w:ascii="Times New Roman" w:hAnsi="Times New Roman" w:cs="Times New Roman"/>
          <w:sz w:val="24"/>
          <w:szCs w:val="24"/>
        </w:rPr>
        <w:t xml:space="preserve">   The Georgia Court of Appeals explained that fair market value is “the price which (the property) will bring when it is offered for sale by one who desires, but is not obligated, to sell it, and is bought by one who wishes to buy, but is not under a necessity to do so.”</w:t>
      </w:r>
      <w:r w:rsidRPr="008420D0">
        <w:rPr>
          <w:rStyle w:val="FootnoteReference"/>
          <w:rFonts w:ascii="Times New Roman" w:hAnsi="Times New Roman" w:cs="Times New Roman"/>
          <w:sz w:val="24"/>
          <w:szCs w:val="24"/>
        </w:rPr>
        <w:footnoteReference w:id="62"/>
      </w:r>
      <w:r w:rsidRPr="008420D0">
        <w:rPr>
          <w:rFonts w:ascii="Times New Roman" w:hAnsi="Times New Roman" w:cs="Times New Roman"/>
          <w:sz w:val="24"/>
          <w:szCs w:val="24"/>
        </w:rPr>
        <w:t xml:space="preserve">   The general rule that the amount brought during a public sale is </w:t>
      </w:r>
      <w:r w:rsidRPr="008420D0">
        <w:rPr>
          <w:rFonts w:ascii="Times New Roman" w:hAnsi="Times New Roman" w:cs="Times New Roman"/>
          <w:i/>
          <w:sz w:val="24"/>
          <w:szCs w:val="24"/>
        </w:rPr>
        <w:t>prima facie</w:t>
      </w:r>
      <w:r w:rsidRPr="008420D0">
        <w:rPr>
          <w:rFonts w:ascii="Times New Roman" w:hAnsi="Times New Roman" w:cs="Times New Roman"/>
          <w:sz w:val="24"/>
          <w:szCs w:val="24"/>
        </w:rPr>
        <w:t xml:space="preserve"> evidence of market value does not apply to confirmation of foreclosure sales.</w:t>
      </w:r>
      <w:r w:rsidRPr="008420D0">
        <w:rPr>
          <w:rStyle w:val="FootnoteReference"/>
          <w:rFonts w:ascii="Times New Roman" w:hAnsi="Times New Roman" w:cs="Times New Roman"/>
          <w:sz w:val="24"/>
          <w:szCs w:val="24"/>
        </w:rPr>
        <w:footnoteReference w:id="63"/>
      </w:r>
      <w:r w:rsidRPr="008420D0">
        <w:rPr>
          <w:rFonts w:ascii="Times New Roman" w:hAnsi="Times New Roman" w:cs="Times New Roman"/>
          <w:sz w:val="24"/>
          <w:szCs w:val="24"/>
        </w:rPr>
        <w:t xml:space="preserve">  Instead, the court must conduct a “separate analysis of the value independent of the sum bid at the public sale.”</w:t>
      </w:r>
      <w:r w:rsidRPr="008420D0">
        <w:rPr>
          <w:rStyle w:val="FootnoteReference"/>
          <w:rFonts w:ascii="Times New Roman" w:hAnsi="Times New Roman" w:cs="Times New Roman"/>
          <w:sz w:val="24"/>
          <w:szCs w:val="24"/>
        </w:rPr>
        <w:footnoteReference w:id="64"/>
      </w:r>
      <w:r w:rsidRPr="008420D0">
        <w:rPr>
          <w:rFonts w:ascii="Times New Roman" w:hAnsi="Times New Roman" w:cs="Times New Roman"/>
          <w:sz w:val="24"/>
          <w:szCs w:val="24"/>
        </w:rPr>
        <w:t xml:space="preserve">   The lender has the burden of proving that the sale brought the property’s true market value.</w:t>
      </w:r>
      <w:r w:rsidRPr="008420D0">
        <w:rPr>
          <w:rStyle w:val="FootnoteReference"/>
          <w:rFonts w:ascii="Times New Roman" w:hAnsi="Times New Roman" w:cs="Times New Roman"/>
          <w:sz w:val="24"/>
          <w:szCs w:val="24"/>
        </w:rPr>
        <w:footnoteReference w:id="65"/>
      </w:r>
      <w:r w:rsidRPr="008420D0">
        <w:rPr>
          <w:rFonts w:ascii="Times New Roman" w:hAnsi="Times New Roman" w:cs="Times New Roman"/>
          <w:sz w:val="24"/>
          <w:szCs w:val="24"/>
        </w:rPr>
        <w:t xml:space="preserve">  Value must be based on date of the foreclosure sale.</w:t>
      </w:r>
      <w:r w:rsidRPr="008420D0">
        <w:rPr>
          <w:rStyle w:val="FootnoteReference"/>
          <w:rFonts w:ascii="Times New Roman" w:hAnsi="Times New Roman" w:cs="Times New Roman"/>
          <w:sz w:val="24"/>
          <w:szCs w:val="24"/>
        </w:rPr>
        <w:footnoteReference w:id="66"/>
      </w:r>
      <w:r w:rsidRPr="008420D0">
        <w:rPr>
          <w:rFonts w:ascii="Times New Roman" w:hAnsi="Times New Roman" w:cs="Times New Roman"/>
          <w:sz w:val="24"/>
          <w:szCs w:val="24"/>
        </w:rPr>
        <w:t xml:space="preserve">  The lender cannot discount the sale to reflect a “quick sale” </w:t>
      </w:r>
      <w:r w:rsidR="00E06F7D" w:rsidRPr="008420D0">
        <w:rPr>
          <w:rFonts w:ascii="Times New Roman" w:hAnsi="Times New Roman" w:cs="Times New Roman"/>
          <w:sz w:val="24"/>
          <w:szCs w:val="24"/>
        </w:rPr>
        <w:t>or shortened time period, as it i</w:t>
      </w:r>
      <w:r w:rsidRPr="008420D0">
        <w:rPr>
          <w:rFonts w:ascii="Times New Roman" w:hAnsi="Times New Roman" w:cs="Times New Roman"/>
          <w:sz w:val="24"/>
          <w:szCs w:val="24"/>
        </w:rPr>
        <w:t>s not reflective of true market value.</w:t>
      </w:r>
      <w:r w:rsidRPr="008420D0">
        <w:rPr>
          <w:rStyle w:val="FootnoteReference"/>
          <w:rFonts w:ascii="Times New Roman" w:hAnsi="Times New Roman" w:cs="Times New Roman"/>
          <w:sz w:val="24"/>
          <w:szCs w:val="24"/>
        </w:rPr>
        <w:footnoteReference w:id="67"/>
      </w:r>
      <w:r w:rsidRPr="008420D0">
        <w:rPr>
          <w:rFonts w:ascii="Times New Roman" w:hAnsi="Times New Roman" w:cs="Times New Roman"/>
          <w:sz w:val="24"/>
          <w:szCs w:val="24"/>
        </w:rPr>
        <w:t xml:space="preserve"> </w:t>
      </w:r>
    </w:p>
    <w:p w:rsidR="00C83B50" w:rsidRPr="008420D0" w:rsidRDefault="00C83B50" w:rsidP="00A807FA">
      <w:pPr>
        <w:widowControl w:val="0"/>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 xml:space="preserve">The traditional way the lender establishes value on the date of the foreclosure sale is by </w:t>
      </w:r>
      <w:r w:rsidRPr="008420D0">
        <w:rPr>
          <w:rFonts w:ascii="Times New Roman" w:hAnsi="Times New Roman" w:cs="Times New Roman"/>
          <w:sz w:val="24"/>
          <w:szCs w:val="24"/>
        </w:rPr>
        <w:lastRenderedPageBreak/>
        <w:t xml:space="preserve">providing the testimonial evidence of an appraiser who appraised the property prior to the sale.  The borrower’s </w:t>
      </w:r>
      <w:r w:rsidR="009F75C4" w:rsidRPr="008420D0">
        <w:rPr>
          <w:rFonts w:ascii="Times New Roman" w:hAnsi="Times New Roman" w:cs="Times New Roman"/>
          <w:sz w:val="24"/>
          <w:szCs w:val="24"/>
        </w:rPr>
        <w:t>counsel</w:t>
      </w:r>
      <w:r w:rsidRPr="008420D0">
        <w:rPr>
          <w:rFonts w:ascii="Times New Roman" w:hAnsi="Times New Roman" w:cs="Times New Roman"/>
          <w:sz w:val="24"/>
          <w:szCs w:val="24"/>
        </w:rPr>
        <w:t xml:space="preserve"> may also want to have an appraisal of the property done if she thinks the lender’s appraised value is too low.  </w:t>
      </w:r>
    </w:p>
    <w:p w:rsidR="00AC70AB" w:rsidRPr="008420D0" w:rsidRDefault="00AC70AB" w:rsidP="00A807FA">
      <w:pPr>
        <w:widowControl w:val="0"/>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 xml:space="preserve">The borrower’s </w:t>
      </w:r>
      <w:r w:rsidR="009F75C4" w:rsidRPr="008420D0">
        <w:rPr>
          <w:rFonts w:ascii="Times New Roman" w:hAnsi="Times New Roman" w:cs="Times New Roman"/>
          <w:sz w:val="24"/>
          <w:szCs w:val="24"/>
        </w:rPr>
        <w:t>counsel</w:t>
      </w:r>
      <w:r w:rsidR="00C83B50" w:rsidRPr="008420D0">
        <w:rPr>
          <w:rFonts w:ascii="Times New Roman" w:hAnsi="Times New Roman" w:cs="Times New Roman"/>
          <w:sz w:val="24"/>
          <w:szCs w:val="24"/>
        </w:rPr>
        <w:t xml:space="preserve"> should become familiar with appraisal nomenclature and processes: the basis for their calculations, the different methods they use, and the underlying rationales they base their mathematical assumptions on.  If the borrower does not hire an appraiser, the only shot he has at disproving the lender’s appraised value is through cross-examination of the lender’s appraiser.  If </w:t>
      </w:r>
      <w:r w:rsidRPr="008420D0">
        <w:rPr>
          <w:rFonts w:ascii="Times New Roman" w:hAnsi="Times New Roman" w:cs="Times New Roman"/>
          <w:sz w:val="24"/>
          <w:szCs w:val="24"/>
        </w:rPr>
        <w:t>borrower’s counsel is</w:t>
      </w:r>
      <w:r w:rsidR="00C83B50" w:rsidRPr="008420D0">
        <w:rPr>
          <w:rFonts w:ascii="Times New Roman" w:hAnsi="Times New Roman" w:cs="Times New Roman"/>
          <w:sz w:val="24"/>
          <w:szCs w:val="24"/>
        </w:rPr>
        <w:t xml:space="preserve"> going to convince the judge that </w:t>
      </w:r>
      <w:r w:rsidRPr="008420D0">
        <w:rPr>
          <w:rFonts w:ascii="Times New Roman" w:hAnsi="Times New Roman" w:cs="Times New Roman"/>
          <w:sz w:val="24"/>
          <w:szCs w:val="24"/>
        </w:rPr>
        <w:t>the borrower’s</w:t>
      </w:r>
      <w:r w:rsidR="00C83B50" w:rsidRPr="008420D0">
        <w:rPr>
          <w:rFonts w:ascii="Times New Roman" w:hAnsi="Times New Roman" w:cs="Times New Roman"/>
          <w:sz w:val="24"/>
          <w:szCs w:val="24"/>
        </w:rPr>
        <w:t xml:space="preserve"> appraiser is correct or the </w:t>
      </w:r>
      <w:r w:rsidRPr="008420D0">
        <w:rPr>
          <w:rFonts w:ascii="Times New Roman" w:hAnsi="Times New Roman" w:cs="Times New Roman"/>
          <w:sz w:val="24"/>
          <w:szCs w:val="24"/>
        </w:rPr>
        <w:t>bank’s</w:t>
      </w:r>
      <w:r w:rsidR="00C83B50" w:rsidRPr="008420D0">
        <w:rPr>
          <w:rFonts w:ascii="Times New Roman" w:hAnsi="Times New Roman" w:cs="Times New Roman"/>
          <w:sz w:val="24"/>
          <w:szCs w:val="24"/>
        </w:rPr>
        <w:t xml:space="preserve"> appraiser is wrong, </w:t>
      </w:r>
      <w:r w:rsidRPr="008420D0">
        <w:rPr>
          <w:rFonts w:ascii="Times New Roman" w:hAnsi="Times New Roman" w:cs="Times New Roman"/>
          <w:sz w:val="24"/>
          <w:szCs w:val="24"/>
        </w:rPr>
        <w:t>the borrower’s counsel</w:t>
      </w:r>
      <w:r w:rsidR="00C83B50" w:rsidRPr="008420D0">
        <w:rPr>
          <w:rFonts w:ascii="Times New Roman" w:hAnsi="Times New Roman" w:cs="Times New Roman"/>
          <w:sz w:val="24"/>
          <w:szCs w:val="24"/>
        </w:rPr>
        <w:t xml:space="preserve"> need</w:t>
      </w:r>
      <w:r w:rsidRPr="008420D0">
        <w:rPr>
          <w:rFonts w:ascii="Times New Roman" w:hAnsi="Times New Roman" w:cs="Times New Roman"/>
          <w:sz w:val="24"/>
          <w:szCs w:val="24"/>
        </w:rPr>
        <w:t>s</w:t>
      </w:r>
      <w:r w:rsidR="00C83B50" w:rsidRPr="008420D0">
        <w:rPr>
          <w:rFonts w:ascii="Times New Roman" w:hAnsi="Times New Roman" w:cs="Times New Roman"/>
          <w:sz w:val="24"/>
          <w:szCs w:val="24"/>
        </w:rPr>
        <w:t xml:space="preserve"> to sound just as knowledgeable about the </w:t>
      </w:r>
      <w:r w:rsidRPr="008420D0">
        <w:rPr>
          <w:rFonts w:ascii="Times New Roman" w:hAnsi="Times New Roman" w:cs="Times New Roman"/>
          <w:sz w:val="24"/>
          <w:szCs w:val="24"/>
        </w:rPr>
        <w:t xml:space="preserve">appraisal </w:t>
      </w:r>
      <w:r w:rsidR="00C83B50" w:rsidRPr="008420D0">
        <w:rPr>
          <w:rFonts w:ascii="Times New Roman" w:hAnsi="Times New Roman" w:cs="Times New Roman"/>
          <w:sz w:val="24"/>
          <w:szCs w:val="24"/>
        </w:rPr>
        <w:t xml:space="preserve">process as </w:t>
      </w:r>
      <w:r w:rsidRPr="008420D0">
        <w:rPr>
          <w:rFonts w:ascii="Times New Roman" w:hAnsi="Times New Roman" w:cs="Times New Roman"/>
          <w:sz w:val="24"/>
          <w:szCs w:val="24"/>
        </w:rPr>
        <w:t>her own</w:t>
      </w:r>
      <w:r w:rsidR="00C83B50" w:rsidRPr="008420D0">
        <w:rPr>
          <w:rFonts w:ascii="Times New Roman" w:hAnsi="Times New Roman" w:cs="Times New Roman"/>
          <w:sz w:val="24"/>
          <w:szCs w:val="24"/>
        </w:rPr>
        <w:t xml:space="preserve"> appraiser.  </w:t>
      </w:r>
    </w:p>
    <w:p w:rsidR="00C83B50" w:rsidRPr="008420D0" w:rsidRDefault="00C83B50" w:rsidP="00A807FA">
      <w:pPr>
        <w:widowControl w:val="0"/>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 xml:space="preserve">For an effective cross-examination, </w:t>
      </w:r>
      <w:r w:rsidR="00AC70AB" w:rsidRPr="008420D0">
        <w:rPr>
          <w:rFonts w:ascii="Times New Roman" w:hAnsi="Times New Roman" w:cs="Times New Roman"/>
          <w:sz w:val="24"/>
          <w:szCs w:val="24"/>
        </w:rPr>
        <w:t>borrower’s counsel</w:t>
      </w:r>
      <w:r w:rsidRPr="008420D0">
        <w:rPr>
          <w:rFonts w:ascii="Times New Roman" w:hAnsi="Times New Roman" w:cs="Times New Roman"/>
          <w:sz w:val="24"/>
          <w:szCs w:val="24"/>
        </w:rPr>
        <w:t xml:space="preserve"> should depose the </w:t>
      </w:r>
      <w:r w:rsidR="00AC70AB" w:rsidRPr="008420D0">
        <w:rPr>
          <w:rFonts w:ascii="Times New Roman" w:hAnsi="Times New Roman" w:cs="Times New Roman"/>
          <w:sz w:val="24"/>
          <w:szCs w:val="24"/>
        </w:rPr>
        <w:t>bank’s</w:t>
      </w:r>
      <w:r w:rsidRPr="008420D0">
        <w:rPr>
          <w:rFonts w:ascii="Times New Roman" w:hAnsi="Times New Roman" w:cs="Times New Roman"/>
          <w:sz w:val="24"/>
          <w:szCs w:val="24"/>
        </w:rPr>
        <w:t xml:space="preserve"> appraiser prior to the hearing so that </w:t>
      </w:r>
      <w:r w:rsidR="00AC70AB" w:rsidRPr="008420D0">
        <w:rPr>
          <w:rFonts w:ascii="Times New Roman" w:hAnsi="Times New Roman" w:cs="Times New Roman"/>
          <w:sz w:val="24"/>
          <w:szCs w:val="24"/>
        </w:rPr>
        <w:t>counsel will</w:t>
      </w:r>
      <w:r w:rsidRPr="008420D0">
        <w:rPr>
          <w:rFonts w:ascii="Times New Roman" w:hAnsi="Times New Roman" w:cs="Times New Roman"/>
          <w:sz w:val="24"/>
          <w:szCs w:val="24"/>
        </w:rPr>
        <w:t xml:space="preserve"> know what </w:t>
      </w:r>
      <w:r w:rsidR="00AC70AB" w:rsidRPr="008420D0">
        <w:rPr>
          <w:rFonts w:ascii="Times New Roman" w:hAnsi="Times New Roman" w:cs="Times New Roman"/>
          <w:sz w:val="24"/>
          <w:szCs w:val="24"/>
        </w:rPr>
        <w:t>t</w:t>
      </w:r>
      <w:r w:rsidRPr="008420D0">
        <w:rPr>
          <w:rFonts w:ascii="Times New Roman" w:hAnsi="Times New Roman" w:cs="Times New Roman"/>
          <w:sz w:val="24"/>
          <w:szCs w:val="24"/>
        </w:rPr>
        <w:t>he</w:t>
      </w:r>
      <w:r w:rsidR="00AC70AB" w:rsidRPr="008420D0">
        <w:rPr>
          <w:rFonts w:ascii="Times New Roman" w:hAnsi="Times New Roman" w:cs="Times New Roman"/>
          <w:sz w:val="24"/>
          <w:szCs w:val="24"/>
        </w:rPr>
        <w:t xml:space="preserve"> appraiser</w:t>
      </w:r>
      <w:r w:rsidRPr="008420D0">
        <w:rPr>
          <w:rFonts w:ascii="Times New Roman" w:hAnsi="Times New Roman" w:cs="Times New Roman"/>
          <w:sz w:val="24"/>
          <w:szCs w:val="24"/>
        </w:rPr>
        <w:t xml:space="preserve"> will say in response to </w:t>
      </w:r>
      <w:r w:rsidR="00AC70AB" w:rsidRPr="008420D0">
        <w:rPr>
          <w:rFonts w:ascii="Times New Roman" w:hAnsi="Times New Roman" w:cs="Times New Roman"/>
          <w:sz w:val="24"/>
          <w:szCs w:val="24"/>
        </w:rPr>
        <w:t>her</w:t>
      </w:r>
      <w:r w:rsidRPr="008420D0">
        <w:rPr>
          <w:rFonts w:ascii="Times New Roman" w:hAnsi="Times New Roman" w:cs="Times New Roman"/>
          <w:sz w:val="24"/>
          <w:szCs w:val="24"/>
        </w:rPr>
        <w:t xml:space="preserve"> ques</w:t>
      </w:r>
      <w:r w:rsidR="00AC70AB" w:rsidRPr="008420D0">
        <w:rPr>
          <w:rFonts w:ascii="Times New Roman" w:hAnsi="Times New Roman" w:cs="Times New Roman"/>
          <w:sz w:val="24"/>
          <w:szCs w:val="24"/>
        </w:rPr>
        <w:t>tions.  Sometimes a borrower client</w:t>
      </w:r>
      <w:r w:rsidRPr="008420D0">
        <w:rPr>
          <w:rFonts w:ascii="Times New Roman" w:hAnsi="Times New Roman" w:cs="Times New Roman"/>
          <w:sz w:val="24"/>
          <w:szCs w:val="24"/>
        </w:rPr>
        <w:t xml:space="preserve"> may not </w:t>
      </w:r>
      <w:r w:rsidR="00AC70AB" w:rsidRPr="008420D0">
        <w:rPr>
          <w:rFonts w:ascii="Times New Roman" w:hAnsi="Times New Roman" w:cs="Times New Roman"/>
          <w:sz w:val="24"/>
          <w:szCs w:val="24"/>
        </w:rPr>
        <w:t>give</w:t>
      </w:r>
      <w:r w:rsidRPr="008420D0">
        <w:rPr>
          <w:rFonts w:ascii="Times New Roman" w:hAnsi="Times New Roman" w:cs="Times New Roman"/>
          <w:sz w:val="24"/>
          <w:szCs w:val="24"/>
        </w:rPr>
        <w:t xml:space="preserve"> cost-approval to depose the appraiser beforehand, so the cross-examination is critical.  By analyzing the comparable properties used in the appraiser’s analysis, understanding </w:t>
      </w:r>
      <w:r w:rsidR="00AC70AB" w:rsidRPr="008420D0">
        <w:rPr>
          <w:rFonts w:ascii="Times New Roman" w:hAnsi="Times New Roman" w:cs="Times New Roman"/>
          <w:sz w:val="24"/>
          <w:szCs w:val="24"/>
        </w:rPr>
        <w:t>how</w:t>
      </w:r>
      <w:r w:rsidRPr="008420D0">
        <w:rPr>
          <w:rFonts w:ascii="Times New Roman" w:hAnsi="Times New Roman" w:cs="Times New Roman"/>
          <w:sz w:val="24"/>
          <w:szCs w:val="24"/>
        </w:rPr>
        <w:t xml:space="preserve"> the appraiser arrived at his conclusions, and having a plan of attack </w:t>
      </w:r>
      <w:r w:rsidR="00AC70AB" w:rsidRPr="008420D0">
        <w:rPr>
          <w:rFonts w:ascii="Times New Roman" w:hAnsi="Times New Roman" w:cs="Times New Roman"/>
          <w:sz w:val="24"/>
          <w:szCs w:val="24"/>
        </w:rPr>
        <w:t>to</w:t>
      </w:r>
      <w:r w:rsidRPr="008420D0">
        <w:rPr>
          <w:rFonts w:ascii="Times New Roman" w:hAnsi="Times New Roman" w:cs="Times New Roman"/>
          <w:sz w:val="24"/>
          <w:szCs w:val="24"/>
        </w:rPr>
        <w:t xml:space="preserve"> dispute his numbers, </w:t>
      </w:r>
      <w:r w:rsidR="00AC70AB" w:rsidRPr="008420D0">
        <w:rPr>
          <w:rFonts w:ascii="Times New Roman" w:hAnsi="Times New Roman" w:cs="Times New Roman"/>
          <w:sz w:val="24"/>
          <w:szCs w:val="24"/>
        </w:rPr>
        <w:t>a skilled attorney</w:t>
      </w:r>
      <w:r w:rsidRPr="008420D0">
        <w:rPr>
          <w:rFonts w:ascii="Times New Roman" w:hAnsi="Times New Roman" w:cs="Times New Roman"/>
          <w:sz w:val="24"/>
          <w:szCs w:val="24"/>
        </w:rPr>
        <w:t xml:space="preserve"> can break away the foundation of </w:t>
      </w:r>
      <w:r w:rsidR="00AC70AB" w:rsidRPr="008420D0">
        <w:rPr>
          <w:rFonts w:ascii="Times New Roman" w:hAnsi="Times New Roman" w:cs="Times New Roman"/>
          <w:sz w:val="24"/>
          <w:szCs w:val="24"/>
        </w:rPr>
        <w:t>any appraiser’s</w:t>
      </w:r>
      <w:r w:rsidRPr="008420D0">
        <w:rPr>
          <w:rFonts w:ascii="Times New Roman" w:hAnsi="Times New Roman" w:cs="Times New Roman"/>
          <w:sz w:val="24"/>
          <w:szCs w:val="24"/>
        </w:rPr>
        <w:t xml:space="preserve"> testimony and raise doubt as to the </w:t>
      </w:r>
      <w:r w:rsidR="00AC70AB" w:rsidRPr="008420D0">
        <w:rPr>
          <w:rFonts w:ascii="Times New Roman" w:hAnsi="Times New Roman" w:cs="Times New Roman"/>
          <w:sz w:val="24"/>
          <w:szCs w:val="24"/>
        </w:rPr>
        <w:t>bank’s</w:t>
      </w:r>
      <w:r w:rsidRPr="008420D0">
        <w:rPr>
          <w:rFonts w:ascii="Times New Roman" w:hAnsi="Times New Roman" w:cs="Times New Roman"/>
          <w:sz w:val="24"/>
          <w:szCs w:val="24"/>
        </w:rPr>
        <w:t xml:space="preserve"> claimed value at the time of the sale. </w:t>
      </w:r>
    </w:p>
    <w:p w:rsidR="00C83B50" w:rsidRPr="008420D0" w:rsidRDefault="00AC70AB" w:rsidP="00A807FA">
      <w:pPr>
        <w:pStyle w:val="BodyText"/>
        <w:widowControl w:val="0"/>
        <w:ind w:firstLine="720"/>
        <w:jc w:val="both"/>
        <w:rPr>
          <w:b/>
          <w:szCs w:val="24"/>
          <w:u w:val="single"/>
        </w:rPr>
      </w:pPr>
      <w:r w:rsidRPr="008420D0">
        <w:rPr>
          <w:b/>
          <w:szCs w:val="24"/>
        </w:rPr>
        <w:t>D.</w:t>
      </w:r>
      <w:r w:rsidRPr="008420D0">
        <w:rPr>
          <w:b/>
          <w:szCs w:val="24"/>
        </w:rPr>
        <w:tab/>
      </w:r>
      <w:r w:rsidR="00C83B50" w:rsidRPr="008420D0">
        <w:rPr>
          <w:b/>
          <w:szCs w:val="24"/>
          <w:u w:val="single"/>
        </w:rPr>
        <w:t>Confirmation Action Procedural Issues</w:t>
      </w:r>
    </w:p>
    <w:p w:rsidR="00C83B50" w:rsidRPr="008420D0" w:rsidRDefault="00AC70AB" w:rsidP="00A807FA">
      <w:pPr>
        <w:pStyle w:val="BodyText"/>
        <w:widowControl w:val="0"/>
        <w:ind w:left="720" w:firstLine="720"/>
        <w:jc w:val="both"/>
        <w:rPr>
          <w:b/>
          <w:szCs w:val="24"/>
        </w:rPr>
      </w:pPr>
      <w:r w:rsidRPr="008420D0">
        <w:rPr>
          <w:b/>
          <w:szCs w:val="24"/>
        </w:rPr>
        <w:t>1.</w:t>
      </w:r>
      <w:r w:rsidRPr="008420D0">
        <w:rPr>
          <w:b/>
          <w:szCs w:val="24"/>
        </w:rPr>
        <w:tab/>
      </w:r>
      <w:r w:rsidR="00C83B50" w:rsidRPr="008420D0">
        <w:rPr>
          <w:b/>
          <w:szCs w:val="24"/>
        </w:rPr>
        <w:t>Confirmation Discovery is Limited</w:t>
      </w:r>
    </w:p>
    <w:p w:rsidR="00C83B50" w:rsidRPr="008420D0" w:rsidRDefault="00C83B50" w:rsidP="00A807FA">
      <w:pPr>
        <w:widowControl w:val="0"/>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 xml:space="preserve">Parties are entitled to discovery in confirmation actions, however, because the nature of a confirmation hearing is limited, so too are the topics available for discovery.  In </w:t>
      </w:r>
      <w:r w:rsidRPr="008420D0">
        <w:rPr>
          <w:rFonts w:ascii="Times New Roman" w:hAnsi="Times New Roman" w:cs="Times New Roman"/>
          <w:sz w:val="24"/>
          <w:szCs w:val="24"/>
          <w:u w:val="single"/>
        </w:rPr>
        <w:t>Alliance Partners v. Harris Trust &amp; Sav. Bank</w:t>
      </w:r>
      <w:r w:rsidRPr="008420D0">
        <w:rPr>
          <w:rFonts w:ascii="Times New Roman" w:hAnsi="Times New Roman" w:cs="Times New Roman"/>
          <w:sz w:val="24"/>
          <w:szCs w:val="24"/>
        </w:rPr>
        <w:t xml:space="preserve">, the Georgia Supreme Court held that “discovery is limited </w:t>
      </w:r>
      <w:r w:rsidRPr="008420D0">
        <w:rPr>
          <w:rFonts w:ascii="Times New Roman" w:hAnsi="Times New Roman" w:cs="Times New Roman"/>
          <w:sz w:val="24"/>
          <w:szCs w:val="24"/>
        </w:rPr>
        <w:lastRenderedPageBreak/>
        <w:t>to the issues considered at the confirmation hearing.”</w:t>
      </w:r>
      <w:r w:rsidRPr="008420D0">
        <w:rPr>
          <w:rStyle w:val="FootnoteReference"/>
          <w:rFonts w:ascii="Times New Roman" w:hAnsi="Times New Roman" w:cs="Times New Roman"/>
          <w:sz w:val="24"/>
          <w:szCs w:val="24"/>
        </w:rPr>
        <w:footnoteReference w:id="68"/>
      </w:r>
      <w:r w:rsidRPr="008420D0">
        <w:rPr>
          <w:rFonts w:ascii="Times New Roman" w:hAnsi="Times New Roman" w:cs="Times New Roman"/>
          <w:sz w:val="24"/>
          <w:szCs w:val="24"/>
        </w:rPr>
        <w:t xml:space="preserve">  The Court then explained that a party in a confirmation hearing “is permitted discovery </w:t>
      </w:r>
      <w:r w:rsidRPr="008420D0">
        <w:rPr>
          <w:rFonts w:ascii="Times New Roman" w:hAnsi="Times New Roman" w:cs="Times New Roman"/>
          <w:sz w:val="24"/>
          <w:szCs w:val="24"/>
          <w:u w:val="single"/>
        </w:rPr>
        <w:t>only</w:t>
      </w:r>
      <w:r w:rsidRPr="008420D0">
        <w:rPr>
          <w:rFonts w:ascii="Times New Roman" w:hAnsi="Times New Roman" w:cs="Times New Roman"/>
          <w:sz w:val="24"/>
          <w:szCs w:val="24"/>
        </w:rPr>
        <w:t xml:space="preserve"> on the regularity of the sale and the market value of the property.”</w:t>
      </w:r>
      <w:r w:rsidRPr="008420D0">
        <w:rPr>
          <w:rStyle w:val="FootnoteReference"/>
          <w:rFonts w:ascii="Times New Roman" w:hAnsi="Times New Roman" w:cs="Times New Roman"/>
          <w:sz w:val="24"/>
          <w:szCs w:val="24"/>
        </w:rPr>
        <w:footnoteReference w:id="69"/>
      </w:r>
      <w:r w:rsidRPr="008420D0">
        <w:rPr>
          <w:rFonts w:ascii="Times New Roman" w:hAnsi="Times New Roman" w:cs="Times New Roman"/>
          <w:sz w:val="24"/>
          <w:szCs w:val="24"/>
        </w:rPr>
        <w:t xml:space="preserve">  </w:t>
      </w:r>
    </w:p>
    <w:p w:rsidR="00C83B50" w:rsidRPr="008420D0" w:rsidRDefault="00C83B50" w:rsidP="00A807FA">
      <w:pPr>
        <w:pStyle w:val="BodyText"/>
        <w:widowControl w:val="0"/>
        <w:ind w:firstLine="720"/>
        <w:jc w:val="both"/>
        <w:rPr>
          <w:szCs w:val="24"/>
        </w:rPr>
      </w:pPr>
      <w:r w:rsidRPr="008420D0">
        <w:rPr>
          <w:szCs w:val="24"/>
        </w:rPr>
        <w:t>Generally, the parties’ discovery focuses on any appraisals the lender has in its possession and depositions of the appraisers who created them.  While this is important, the parties should also conduct discovery on the regularity of the sale.</w:t>
      </w:r>
    </w:p>
    <w:p w:rsidR="00C83B50" w:rsidRPr="008420D0" w:rsidRDefault="00AC70AB" w:rsidP="00A807FA">
      <w:pPr>
        <w:pStyle w:val="BodyText"/>
        <w:widowControl w:val="0"/>
        <w:ind w:left="720" w:firstLine="720"/>
        <w:jc w:val="both"/>
        <w:rPr>
          <w:b/>
          <w:szCs w:val="24"/>
        </w:rPr>
      </w:pPr>
      <w:r w:rsidRPr="008420D0">
        <w:rPr>
          <w:b/>
          <w:szCs w:val="24"/>
        </w:rPr>
        <w:t>2.</w:t>
      </w:r>
      <w:r w:rsidRPr="008420D0">
        <w:rPr>
          <w:b/>
          <w:szCs w:val="24"/>
        </w:rPr>
        <w:tab/>
      </w:r>
      <w:r w:rsidR="00C83B50" w:rsidRPr="008420D0">
        <w:rPr>
          <w:b/>
          <w:szCs w:val="24"/>
        </w:rPr>
        <w:t>At the Hearing</w:t>
      </w:r>
    </w:p>
    <w:p w:rsidR="00C83B50" w:rsidRPr="008420D0" w:rsidRDefault="00C83B50" w:rsidP="00A807FA">
      <w:pPr>
        <w:pStyle w:val="BodyText"/>
        <w:widowControl w:val="0"/>
        <w:ind w:firstLine="720"/>
        <w:jc w:val="both"/>
        <w:rPr>
          <w:szCs w:val="24"/>
        </w:rPr>
      </w:pPr>
      <w:r w:rsidRPr="008420D0">
        <w:rPr>
          <w:szCs w:val="24"/>
        </w:rPr>
        <w:t>The lender has the burden of presenting evidence to meet the requirements of the confirmation statute.  Borrowers then rebut that evidence during the hearing.  Much like any other trial, preparation is the key to winning a confirmation hearing.  Your preparation should include preparing a trial brief, thorough outlines of your direct and cross-examination of identified witnesses, and the preparation of useful demonstrative exhibits.</w:t>
      </w:r>
    </w:p>
    <w:p w:rsidR="00C83B50" w:rsidRPr="008420D0" w:rsidRDefault="00AC70AB" w:rsidP="00A807FA">
      <w:pPr>
        <w:pStyle w:val="BodyText"/>
        <w:widowControl w:val="0"/>
        <w:ind w:left="1440" w:firstLine="720"/>
        <w:jc w:val="both"/>
        <w:rPr>
          <w:b/>
          <w:szCs w:val="24"/>
        </w:rPr>
      </w:pPr>
      <w:r w:rsidRPr="008420D0">
        <w:rPr>
          <w:b/>
          <w:szCs w:val="24"/>
        </w:rPr>
        <w:t>i.</w:t>
      </w:r>
      <w:r w:rsidRPr="008420D0">
        <w:rPr>
          <w:b/>
          <w:szCs w:val="24"/>
        </w:rPr>
        <w:tab/>
      </w:r>
      <w:r w:rsidR="00C83B50" w:rsidRPr="008420D0">
        <w:rPr>
          <w:b/>
          <w:szCs w:val="24"/>
        </w:rPr>
        <w:t>Trial Briefs</w:t>
      </w:r>
    </w:p>
    <w:p w:rsidR="00C83B50" w:rsidRPr="008420D0" w:rsidRDefault="00C83B50" w:rsidP="00A807FA">
      <w:pPr>
        <w:widowControl w:val="0"/>
        <w:spacing w:after="0" w:line="480" w:lineRule="auto"/>
        <w:ind w:firstLine="720"/>
        <w:jc w:val="both"/>
        <w:rPr>
          <w:rFonts w:ascii="Times New Roman" w:eastAsia="Calibri" w:hAnsi="Times New Roman" w:cs="Times New Roman"/>
          <w:sz w:val="24"/>
          <w:szCs w:val="24"/>
        </w:rPr>
      </w:pPr>
      <w:r w:rsidRPr="008420D0">
        <w:rPr>
          <w:rFonts w:ascii="Times New Roman" w:eastAsia="Calibri" w:hAnsi="Times New Roman" w:cs="Times New Roman"/>
          <w:sz w:val="24"/>
          <w:szCs w:val="24"/>
        </w:rPr>
        <w:t xml:space="preserve">Trial briefs are especially useful during a confirmation hearing when you know you will have to argue a point of law and the judge will have to make a ruling that day, giving her little to no time to research the issue.  While you have lived with the facts and operative legal principles of your case for the past several months, the judge, or more importantly, her law clerk, likely knows nothing more than the style of the case and case number, if that much.  Because the issues raised in a confirmation tend to be technical and dispositive, a trial brief is invaluable.  Your goal should be to set the stage and arm the court with all of the tools to understand and apply the confirmation statute to the facts you present at trial.  The facts give the court the critical context and must be 100% consistent with what you reasonably expect the evidence at trial to bear out.  </w:t>
      </w:r>
    </w:p>
    <w:p w:rsidR="00C83B50" w:rsidRPr="008420D0" w:rsidRDefault="00C83B50" w:rsidP="00A807FA">
      <w:pPr>
        <w:widowControl w:val="0"/>
        <w:spacing w:after="0" w:line="480" w:lineRule="auto"/>
        <w:ind w:firstLine="720"/>
        <w:jc w:val="both"/>
        <w:rPr>
          <w:rFonts w:ascii="Times New Roman" w:eastAsia="Calibri" w:hAnsi="Times New Roman" w:cs="Times New Roman"/>
          <w:sz w:val="24"/>
          <w:szCs w:val="24"/>
        </w:rPr>
      </w:pPr>
      <w:r w:rsidRPr="008420D0">
        <w:rPr>
          <w:rFonts w:ascii="Times New Roman" w:eastAsia="Calibri" w:hAnsi="Times New Roman" w:cs="Times New Roman"/>
          <w:sz w:val="24"/>
          <w:szCs w:val="24"/>
        </w:rPr>
        <w:lastRenderedPageBreak/>
        <w:t>Load your brief with the cases and analysis that support your interpretation of the confirmation statute.  The brief should be a reference tool and a hornbook that the court can use to further its research on the matter and to arm the court with the framework within which to analyze the facts.  Take every opportunity available to educate the court and do so better than your opponent.  This will likely be your only chance to access this judge before she rules on the confirmation, so put your best foot forward.</w:t>
      </w:r>
    </w:p>
    <w:p w:rsidR="00C83B50" w:rsidRPr="008420D0" w:rsidRDefault="00C83B50" w:rsidP="00A807FA">
      <w:pPr>
        <w:widowControl w:val="0"/>
        <w:spacing w:after="0" w:line="480" w:lineRule="auto"/>
        <w:ind w:firstLine="720"/>
        <w:jc w:val="both"/>
        <w:rPr>
          <w:rFonts w:ascii="Times New Roman" w:eastAsia="Calibri" w:hAnsi="Times New Roman" w:cs="Times New Roman"/>
          <w:sz w:val="24"/>
          <w:szCs w:val="24"/>
        </w:rPr>
      </w:pPr>
      <w:r w:rsidRPr="008420D0">
        <w:rPr>
          <w:rFonts w:ascii="Times New Roman" w:eastAsia="Calibri" w:hAnsi="Times New Roman" w:cs="Times New Roman"/>
          <w:sz w:val="24"/>
          <w:szCs w:val="24"/>
        </w:rPr>
        <w:t>This opportunity comes with the responsibility of completely thinking through your case and composing a logical discussion of the important elements.  This exercise is not only useful for the judge, but is likely useful for the composing attorney.</w:t>
      </w:r>
    </w:p>
    <w:p w:rsidR="00C83B50" w:rsidRPr="008420D0" w:rsidRDefault="00AC70AB" w:rsidP="00A807FA">
      <w:pPr>
        <w:widowControl w:val="0"/>
        <w:spacing w:after="0" w:line="480" w:lineRule="auto"/>
        <w:ind w:left="1440" w:firstLine="720"/>
        <w:jc w:val="both"/>
        <w:rPr>
          <w:rFonts w:ascii="Times New Roman" w:eastAsia="Calibri" w:hAnsi="Times New Roman" w:cs="Times New Roman"/>
          <w:b/>
          <w:sz w:val="24"/>
          <w:szCs w:val="24"/>
        </w:rPr>
      </w:pPr>
      <w:r w:rsidRPr="008420D0">
        <w:rPr>
          <w:rFonts w:ascii="Times New Roman" w:eastAsia="Calibri" w:hAnsi="Times New Roman" w:cs="Times New Roman"/>
          <w:b/>
          <w:sz w:val="24"/>
          <w:szCs w:val="24"/>
        </w:rPr>
        <w:t>ii.</w:t>
      </w:r>
      <w:r w:rsidRPr="008420D0">
        <w:rPr>
          <w:rFonts w:ascii="Times New Roman" w:eastAsia="Calibri" w:hAnsi="Times New Roman" w:cs="Times New Roman"/>
          <w:b/>
          <w:sz w:val="24"/>
          <w:szCs w:val="24"/>
        </w:rPr>
        <w:tab/>
        <w:t>Examination of Witnesses</w:t>
      </w:r>
    </w:p>
    <w:p w:rsidR="00AF5D9C" w:rsidRPr="008420D0" w:rsidRDefault="00AF5D9C" w:rsidP="00A807FA">
      <w:pPr>
        <w:widowControl w:val="0"/>
        <w:spacing w:after="0" w:line="480" w:lineRule="auto"/>
        <w:ind w:firstLine="720"/>
        <w:jc w:val="both"/>
        <w:rPr>
          <w:rFonts w:ascii="Times New Roman" w:eastAsia="Calibri" w:hAnsi="Times New Roman" w:cs="Times New Roman"/>
          <w:sz w:val="24"/>
          <w:szCs w:val="24"/>
        </w:rPr>
      </w:pPr>
      <w:r w:rsidRPr="008420D0">
        <w:rPr>
          <w:rFonts w:ascii="Times New Roman" w:eastAsia="Calibri" w:hAnsi="Times New Roman" w:cs="Times New Roman"/>
          <w:sz w:val="24"/>
          <w:szCs w:val="24"/>
        </w:rPr>
        <w:t xml:space="preserve">From the time you begin investigating the case, you should be preparing for your case in chief.  While less glamorous than the opening and closing arguments, many cases are won and lost in the trenches of putting your essential facts into evidence through written and testimonial evidence.  Effectively navigating the pitfalls of the rules of evidence and procedure at trial depends on one thing:  organization.  By the time you call your first witness, you must be certain what facts you need to win your case, how you will put them into evidence and through what witnesses, and what objections or other obstacles you can expect at the time of the confirmation hearing.  If you have done your homework and put the time in on the front end to get organized, you should expect a hearing with no surprises.  </w:t>
      </w:r>
    </w:p>
    <w:p w:rsidR="00AF5D9C" w:rsidRPr="008420D0" w:rsidRDefault="00AF5D9C" w:rsidP="00A807FA">
      <w:pPr>
        <w:widowControl w:val="0"/>
        <w:spacing w:after="0" w:line="480" w:lineRule="auto"/>
        <w:ind w:firstLine="720"/>
        <w:jc w:val="both"/>
        <w:rPr>
          <w:rFonts w:ascii="Times New Roman" w:eastAsia="Calibri" w:hAnsi="Times New Roman" w:cs="Times New Roman"/>
          <w:sz w:val="24"/>
          <w:szCs w:val="24"/>
        </w:rPr>
      </w:pPr>
      <w:r w:rsidRPr="008420D0">
        <w:rPr>
          <w:rFonts w:ascii="Times New Roman" w:eastAsia="Calibri" w:hAnsi="Times New Roman" w:cs="Times New Roman"/>
          <w:sz w:val="24"/>
          <w:szCs w:val="24"/>
        </w:rPr>
        <w:t xml:space="preserve">As Respondent, your first interaction with witnesses at the hearing will likely be the cross-examination of the lender’s appraiser as to true market value, or the attorney who conducted the foreclosure as to the regularity of the sale.  Cross-examination should be just as rote and routine as conducting a direct examination, though it rarely is.  Assuming you have </w:t>
      </w:r>
      <w:r w:rsidRPr="008420D0">
        <w:rPr>
          <w:rFonts w:ascii="Times New Roman" w:eastAsia="Calibri" w:hAnsi="Times New Roman" w:cs="Times New Roman"/>
          <w:sz w:val="24"/>
          <w:szCs w:val="24"/>
        </w:rPr>
        <w:lastRenderedPageBreak/>
        <w:t xml:space="preserve">deposed the opposing witnesses effectively, a topic for another paper, you should know exactly what to expect in response to every question you pose while they are on the stand.  </w:t>
      </w:r>
      <w:r w:rsidRPr="008420D0">
        <w:rPr>
          <w:rFonts w:ascii="Times New Roman" w:eastAsia="Calibri" w:hAnsi="Times New Roman" w:cs="Times New Roman"/>
          <w:sz w:val="24"/>
          <w:szCs w:val="24"/>
          <w:u w:val="single"/>
        </w:rPr>
        <w:t>Ask no question to which you do not already know the answer</w:t>
      </w:r>
      <w:r w:rsidRPr="008420D0">
        <w:rPr>
          <w:rFonts w:ascii="Times New Roman" w:eastAsia="Calibri" w:hAnsi="Times New Roman" w:cs="Times New Roman"/>
          <w:sz w:val="24"/>
          <w:szCs w:val="24"/>
        </w:rPr>
        <w:t>.  The answer should be in black and white in the transcript of that witness’ deposition that you conducted.  You must base every question you ask on a response contained in that transcript.  This is not the time to take chances.  Ask nothing but leading questions that elicit nothing more than a “yes” or “no” answer.  Do not allow the witness to expound if you can prevent it.  Take control, and it becomes as if you are actually doing the testifying with the witness merely nodding and agreeing.</w:t>
      </w:r>
    </w:p>
    <w:p w:rsidR="00AF5D9C" w:rsidRPr="008420D0" w:rsidRDefault="00AF5D9C" w:rsidP="00A807FA">
      <w:pPr>
        <w:widowControl w:val="0"/>
        <w:spacing w:after="0" w:line="480" w:lineRule="auto"/>
        <w:ind w:firstLine="720"/>
        <w:jc w:val="both"/>
        <w:rPr>
          <w:rFonts w:ascii="Times New Roman" w:eastAsia="Calibri" w:hAnsi="Times New Roman" w:cs="Times New Roman"/>
          <w:sz w:val="24"/>
          <w:szCs w:val="24"/>
        </w:rPr>
      </w:pPr>
      <w:r w:rsidRPr="008420D0">
        <w:rPr>
          <w:rFonts w:ascii="Times New Roman" w:eastAsia="Calibri" w:hAnsi="Times New Roman" w:cs="Times New Roman"/>
          <w:sz w:val="24"/>
          <w:szCs w:val="24"/>
        </w:rPr>
        <w:t>If a witness changes his or her story, you must be prepared to go through the proper steps to impeach that witness with his or her prior sworn testimony.  This is where the fun begins.  Now you have a witness for the other side who either lied during the deposition under oath or is lying to the judge in court.  You will never know how effectively you conduct a deposition until you go to prepare and conduct a cross examination at trial.</w:t>
      </w:r>
    </w:p>
    <w:p w:rsidR="00AC70AB" w:rsidRPr="008420D0" w:rsidRDefault="00C83B50" w:rsidP="00A807FA">
      <w:pPr>
        <w:widowControl w:val="0"/>
        <w:spacing w:after="0" w:line="480" w:lineRule="auto"/>
        <w:ind w:firstLine="720"/>
        <w:jc w:val="both"/>
        <w:rPr>
          <w:rFonts w:ascii="Times New Roman" w:eastAsia="Calibri" w:hAnsi="Times New Roman" w:cs="Times New Roman"/>
          <w:sz w:val="24"/>
          <w:szCs w:val="24"/>
        </w:rPr>
      </w:pPr>
      <w:r w:rsidRPr="008420D0">
        <w:rPr>
          <w:rFonts w:ascii="Times New Roman" w:eastAsia="Calibri" w:hAnsi="Times New Roman" w:cs="Times New Roman"/>
          <w:sz w:val="24"/>
          <w:szCs w:val="24"/>
        </w:rPr>
        <w:t xml:space="preserve">Direct examination is your chance to lead your witnesses through the evidence.  If it is the person who conducted the sale, you should quickly establish the facts that the lender complied with </w:t>
      </w:r>
      <w:r w:rsidR="00AC70AB" w:rsidRPr="008420D0">
        <w:rPr>
          <w:rFonts w:ascii="Times New Roman" w:eastAsia="Calibri" w:hAnsi="Times New Roman" w:cs="Times New Roman"/>
          <w:sz w:val="24"/>
          <w:szCs w:val="24"/>
        </w:rPr>
        <w:t>Georgia</w:t>
      </w:r>
      <w:r w:rsidRPr="008420D0">
        <w:rPr>
          <w:rFonts w:ascii="Times New Roman" w:eastAsia="Calibri" w:hAnsi="Times New Roman" w:cs="Times New Roman"/>
          <w:sz w:val="24"/>
          <w:szCs w:val="24"/>
        </w:rPr>
        <w:t xml:space="preserve"> law on conducting the sale.  If you are examining the appraiser, guide him through his calculation step-by-step so that the trier of fact can hear in the appraiser’s own words how he arrived at his calculation of value, and more importantly, why the other side’s appraised value is incorrect.  Your goal is to get the substance of your case before the trier of fact in a clean and concise fashion.  You must also make sure that you keep the judge interested, so that he is attentive and not preparing his evening’s grocery list.  You should work hard at making the story appealing and the dialogue between you and the witness seamless.  </w:t>
      </w:r>
    </w:p>
    <w:p w:rsidR="00C83B50" w:rsidRPr="008420D0" w:rsidRDefault="00C83B50" w:rsidP="00A807FA">
      <w:pPr>
        <w:widowControl w:val="0"/>
        <w:spacing w:after="0" w:line="480" w:lineRule="auto"/>
        <w:ind w:firstLine="720"/>
        <w:jc w:val="both"/>
        <w:rPr>
          <w:rFonts w:ascii="Times New Roman" w:eastAsia="Calibri" w:hAnsi="Times New Roman" w:cs="Times New Roman"/>
          <w:sz w:val="24"/>
          <w:szCs w:val="24"/>
        </w:rPr>
      </w:pPr>
      <w:r w:rsidRPr="008420D0">
        <w:rPr>
          <w:rFonts w:ascii="Times New Roman" w:eastAsia="Calibri" w:hAnsi="Times New Roman" w:cs="Times New Roman"/>
          <w:sz w:val="24"/>
          <w:szCs w:val="24"/>
          <w:u w:val="single"/>
        </w:rPr>
        <w:t xml:space="preserve">Spending hours preparing your witness so that they know what you are going to ask and </w:t>
      </w:r>
      <w:r w:rsidRPr="008420D0">
        <w:rPr>
          <w:rFonts w:ascii="Times New Roman" w:eastAsia="Calibri" w:hAnsi="Times New Roman" w:cs="Times New Roman"/>
          <w:sz w:val="24"/>
          <w:szCs w:val="24"/>
          <w:u w:val="single"/>
        </w:rPr>
        <w:lastRenderedPageBreak/>
        <w:t>you know what they are going to answer is time well spent</w:t>
      </w:r>
      <w:r w:rsidRPr="008420D0">
        <w:rPr>
          <w:rFonts w:ascii="Times New Roman" w:eastAsia="Calibri" w:hAnsi="Times New Roman" w:cs="Times New Roman"/>
          <w:sz w:val="24"/>
          <w:szCs w:val="24"/>
        </w:rPr>
        <w:t>.  Go through the documents you will refer to with that witness and manage the mechanics involved in authenticating documents and refreshing recollections.  Do not allow your opposition to keep key documentary evidence out of the case because you failed to take the time to think ahead and proffer the evidence in the appropriate fashion.  This may be a mundane process, but it is essential to trying a clean case.  Outline your entire presentation with each witness and be sure not to leave anything out.  Leave nothing to chance because once you make the ominous announcement, that “you rest,” there is no turning back.</w:t>
      </w:r>
    </w:p>
    <w:p w:rsidR="00C83B50" w:rsidRPr="008420D0" w:rsidRDefault="00AF5D9C" w:rsidP="00A807FA">
      <w:pPr>
        <w:widowControl w:val="0"/>
        <w:spacing w:after="0" w:line="480" w:lineRule="auto"/>
        <w:ind w:left="1440" w:firstLine="720"/>
        <w:jc w:val="both"/>
        <w:rPr>
          <w:rFonts w:ascii="Times New Roman" w:eastAsia="Calibri" w:hAnsi="Times New Roman" w:cs="Times New Roman"/>
          <w:b/>
          <w:sz w:val="24"/>
          <w:szCs w:val="24"/>
        </w:rPr>
      </w:pPr>
      <w:r w:rsidRPr="008420D0">
        <w:rPr>
          <w:rFonts w:ascii="Times New Roman" w:eastAsia="Calibri" w:hAnsi="Times New Roman" w:cs="Times New Roman"/>
          <w:b/>
          <w:sz w:val="24"/>
          <w:szCs w:val="24"/>
        </w:rPr>
        <w:t>iii.</w:t>
      </w:r>
      <w:r w:rsidRPr="008420D0">
        <w:rPr>
          <w:rFonts w:ascii="Times New Roman" w:eastAsia="Calibri" w:hAnsi="Times New Roman" w:cs="Times New Roman"/>
          <w:b/>
          <w:sz w:val="24"/>
          <w:szCs w:val="24"/>
        </w:rPr>
        <w:tab/>
      </w:r>
      <w:r w:rsidR="00C83B50" w:rsidRPr="008420D0">
        <w:rPr>
          <w:rFonts w:ascii="Times New Roman" w:eastAsia="Calibri" w:hAnsi="Times New Roman" w:cs="Times New Roman"/>
          <w:b/>
          <w:sz w:val="24"/>
          <w:szCs w:val="24"/>
        </w:rPr>
        <w:t>The Directed Verdict</w:t>
      </w:r>
    </w:p>
    <w:p w:rsidR="00C83B50" w:rsidRPr="008420D0" w:rsidRDefault="00C83B50" w:rsidP="00A807FA">
      <w:pPr>
        <w:widowControl w:val="0"/>
        <w:spacing w:after="0" w:line="480" w:lineRule="auto"/>
        <w:ind w:firstLine="720"/>
        <w:jc w:val="both"/>
        <w:rPr>
          <w:rFonts w:ascii="Times New Roman" w:eastAsia="Calibri" w:hAnsi="Times New Roman" w:cs="Times New Roman"/>
          <w:sz w:val="24"/>
          <w:szCs w:val="24"/>
        </w:rPr>
      </w:pPr>
      <w:r w:rsidRPr="008420D0">
        <w:rPr>
          <w:rFonts w:ascii="Times New Roman" w:eastAsia="Calibri" w:hAnsi="Times New Roman" w:cs="Times New Roman"/>
          <w:sz w:val="24"/>
          <w:szCs w:val="24"/>
        </w:rPr>
        <w:t xml:space="preserve">After the close of petitioner’s case, respondent’s counsel may move the court for a directed verdict if the lender: 1) has not met its burden of establishing the regularity of the sale or the true market value of the property at the time of the sale, or 2) failed to meet the requirements of the confirmation statute, e.g., failed to name and serve the guarantor. </w:t>
      </w:r>
    </w:p>
    <w:p w:rsidR="00C83B50" w:rsidRPr="008420D0" w:rsidRDefault="00C83B50" w:rsidP="00A807FA">
      <w:pPr>
        <w:spacing w:after="0" w:line="480" w:lineRule="auto"/>
        <w:ind w:left="86" w:firstLine="634"/>
        <w:jc w:val="both"/>
        <w:rPr>
          <w:rFonts w:ascii="Times New Roman" w:eastAsia="Calibri" w:hAnsi="Times New Roman" w:cs="Times New Roman"/>
          <w:sz w:val="24"/>
          <w:szCs w:val="24"/>
        </w:rPr>
      </w:pPr>
      <w:r w:rsidRPr="008420D0">
        <w:rPr>
          <w:rFonts w:ascii="Times New Roman" w:eastAsia="Calibri" w:hAnsi="Times New Roman" w:cs="Times New Roman"/>
          <w:sz w:val="24"/>
          <w:szCs w:val="24"/>
        </w:rPr>
        <w:t xml:space="preserve">The Georgia Court of Appeals has ruled that the court may grant a directed verdict to respondents </w:t>
      </w:r>
      <w:r w:rsidR="00AF5D9C" w:rsidRPr="008420D0">
        <w:rPr>
          <w:rFonts w:ascii="Times New Roman" w:eastAsia="Calibri" w:hAnsi="Times New Roman" w:cs="Times New Roman"/>
          <w:sz w:val="24"/>
          <w:szCs w:val="24"/>
        </w:rPr>
        <w:t>when a petitioner fails</w:t>
      </w:r>
      <w:r w:rsidRPr="008420D0">
        <w:rPr>
          <w:rFonts w:ascii="Times New Roman" w:eastAsia="Calibri" w:hAnsi="Times New Roman" w:cs="Times New Roman"/>
          <w:sz w:val="24"/>
          <w:szCs w:val="24"/>
        </w:rPr>
        <w:t xml:space="preserve"> to personally serve the Rule Nisi.  In </w:t>
      </w:r>
      <w:r w:rsidRPr="008420D0">
        <w:rPr>
          <w:rFonts w:ascii="Times New Roman" w:eastAsia="Calibri" w:hAnsi="Times New Roman" w:cs="Times New Roman"/>
          <w:sz w:val="24"/>
          <w:szCs w:val="24"/>
          <w:u w:val="single"/>
        </w:rPr>
        <w:t>Phelan v. Wells Fargo Credit Corporation</w:t>
      </w:r>
      <w:r w:rsidRPr="008420D0">
        <w:rPr>
          <w:rFonts w:ascii="Times New Roman" w:eastAsia="Calibri" w:hAnsi="Times New Roman" w:cs="Times New Roman"/>
          <w:sz w:val="24"/>
          <w:szCs w:val="24"/>
        </w:rPr>
        <w:t>, a borrower in a confirmation hearing was personally served with a confirmation petition and a Rule Nisi setting the confirmation hearing for November 26th.</w:t>
      </w:r>
      <w:r w:rsidRPr="008420D0">
        <w:rPr>
          <w:rStyle w:val="FootnoteReference"/>
          <w:rFonts w:ascii="Times New Roman" w:eastAsia="Calibri" w:hAnsi="Times New Roman" w:cs="Times New Roman"/>
          <w:sz w:val="24"/>
          <w:szCs w:val="24"/>
        </w:rPr>
        <w:footnoteReference w:id="70"/>
      </w:r>
      <w:r w:rsidRPr="008420D0">
        <w:rPr>
          <w:rFonts w:ascii="Times New Roman" w:eastAsia="Calibri" w:hAnsi="Times New Roman" w:cs="Times New Roman"/>
          <w:sz w:val="24"/>
          <w:szCs w:val="24"/>
        </w:rPr>
        <w:t xml:space="preserve">  The trial court subsequently issued a new Rule Nisi rescheduling the confirmation hearing for February 7th.</w:t>
      </w:r>
      <w:r w:rsidRPr="008420D0">
        <w:rPr>
          <w:rStyle w:val="FootnoteReference"/>
          <w:rFonts w:ascii="Times New Roman" w:eastAsia="Calibri" w:hAnsi="Times New Roman" w:cs="Times New Roman"/>
          <w:sz w:val="24"/>
          <w:szCs w:val="24"/>
        </w:rPr>
        <w:footnoteReference w:id="71"/>
      </w:r>
      <w:r w:rsidRPr="008420D0">
        <w:rPr>
          <w:rFonts w:ascii="Times New Roman" w:eastAsia="Calibri" w:hAnsi="Times New Roman" w:cs="Times New Roman"/>
          <w:sz w:val="24"/>
          <w:szCs w:val="24"/>
        </w:rPr>
        <w:t xml:space="preserve">  Instead of being personally served with the Rule Nisi for the February 7th hearing date, however, the borrower received the Rule Nisi via certified mail.</w:t>
      </w:r>
      <w:r w:rsidRPr="008420D0">
        <w:rPr>
          <w:rStyle w:val="FootnoteReference"/>
          <w:rFonts w:ascii="Times New Roman" w:eastAsia="Calibri" w:hAnsi="Times New Roman" w:cs="Times New Roman"/>
          <w:sz w:val="24"/>
          <w:szCs w:val="24"/>
        </w:rPr>
        <w:footnoteReference w:id="72"/>
      </w:r>
      <w:r w:rsidRPr="008420D0">
        <w:rPr>
          <w:rFonts w:ascii="Times New Roman" w:eastAsia="Calibri" w:hAnsi="Times New Roman" w:cs="Times New Roman"/>
          <w:sz w:val="24"/>
          <w:szCs w:val="24"/>
        </w:rPr>
        <w:t xml:space="preserve">  The borrower appeared before the trial court on February 7th and, at the conclusion of the petitioner’s case, </w:t>
      </w:r>
      <w:r w:rsidRPr="008420D0">
        <w:rPr>
          <w:rFonts w:ascii="Times New Roman" w:eastAsia="Calibri" w:hAnsi="Times New Roman" w:cs="Times New Roman"/>
          <w:sz w:val="24"/>
          <w:szCs w:val="24"/>
        </w:rPr>
        <w:lastRenderedPageBreak/>
        <w:t>moved for a directed verdict on the ground that it was not personally served with the February 7th Rule Nisi as required by O.C.G.A. § 44-14-161(c).</w:t>
      </w:r>
      <w:r w:rsidRPr="008420D0">
        <w:rPr>
          <w:rStyle w:val="FootnoteReference"/>
          <w:rFonts w:ascii="Times New Roman" w:eastAsia="Calibri" w:hAnsi="Times New Roman" w:cs="Times New Roman"/>
          <w:sz w:val="24"/>
          <w:szCs w:val="24"/>
        </w:rPr>
        <w:footnoteReference w:id="73"/>
      </w:r>
      <w:r w:rsidRPr="008420D0">
        <w:rPr>
          <w:rFonts w:ascii="Times New Roman" w:eastAsia="Calibri" w:hAnsi="Times New Roman" w:cs="Times New Roman"/>
          <w:sz w:val="24"/>
          <w:szCs w:val="24"/>
        </w:rPr>
        <w:t xml:space="preserve">  The Georgia Court of Appeals reversed the trial court’s denial of the borrower’s motion for direct verdict.</w:t>
      </w:r>
      <w:r w:rsidRPr="008420D0">
        <w:rPr>
          <w:rStyle w:val="FootnoteReference"/>
          <w:rFonts w:ascii="Times New Roman" w:eastAsia="Calibri" w:hAnsi="Times New Roman" w:cs="Times New Roman"/>
          <w:sz w:val="24"/>
          <w:szCs w:val="24"/>
        </w:rPr>
        <w:footnoteReference w:id="74"/>
      </w:r>
      <w:r w:rsidRPr="008420D0">
        <w:rPr>
          <w:rFonts w:ascii="Times New Roman" w:eastAsia="Calibri" w:hAnsi="Times New Roman" w:cs="Times New Roman"/>
          <w:sz w:val="24"/>
          <w:szCs w:val="24"/>
        </w:rPr>
        <w:t xml:space="preserve">  The Court of Appeals held that service of the Rule Nisi by mail violated Georgia’s confirmation statute, and that such service was improper even though the borrower had actual knowledge of the confirmation hearing as a result of the mailing.</w:t>
      </w:r>
      <w:r w:rsidRPr="008420D0">
        <w:rPr>
          <w:rStyle w:val="FootnoteReference"/>
          <w:rFonts w:ascii="Times New Roman" w:eastAsia="Calibri" w:hAnsi="Times New Roman" w:cs="Times New Roman"/>
          <w:sz w:val="24"/>
          <w:szCs w:val="24"/>
        </w:rPr>
        <w:footnoteReference w:id="75"/>
      </w:r>
      <w:r w:rsidRPr="008420D0">
        <w:rPr>
          <w:rFonts w:ascii="Times New Roman" w:eastAsia="Calibri" w:hAnsi="Times New Roman" w:cs="Times New Roman"/>
          <w:sz w:val="24"/>
          <w:szCs w:val="24"/>
        </w:rPr>
        <w:t xml:space="preserve">  The Court concluded that the “[borrower] appeared at the hearing but asserted his defense of insufficient service, which was meritorious and should have been sustained.”</w:t>
      </w:r>
      <w:r w:rsidRPr="008420D0">
        <w:rPr>
          <w:rStyle w:val="FootnoteReference"/>
          <w:rFonts w:ascii="Times New Roman" w:eastAsia="Calibri" w:hAnsi="Times New Roman" w:cs="Times New Roman"/>
          <w:sz w:val="24"/>
          <w:szCs w:val="24"/>
        </w:rPr>
        <w:footnoteReference w:id="76"/>
      </w:r>
      <w:r w:rsidRPr="008420D0">
        <w:rPr>
          <w:rFonts w:ascii="Times New Roman" w:eastAsia="Calibri" w:hAnsi="Times New Roman" w:cs="Times New Roman"/>
          <w:sz w:val="24"/>
          <w:szCs w:val="24"/>
        </w:rPr>
        <w:t xml:space="preserve">    </w:t>
      </w:r>
    </w:p>
    <w:p w:rsidR="00C83B50" w:rsidRPr="008420D0" w:rsidRDefault="00AF5D9C" w:rsidP="00A807FA">
      <w:pPr>
        <w:widowControl w:val="0"/>
        <w:spacing w:after="0" w:line="480" w:lineRule="auto"/>
        <w:jc w:val="both"/>
        <w:rPr>
          <w:rFonts w:ascii="Times New Roman" w:eastAsia="Calibri" w:hAnsi="Times New Roman" w:cs="Times New Roman"/>
          <w:b/>
          <w:sz w:val="24"/>
          <w:szCs w:val="24"/>
        </w:rPr>
      </w:pPr>
      <w:r w:rsidRPr="008420D0">
        <w:rPr>
          <w:rFonts w:ascii="Times New Roman" w:eastAsia="Calibri" w:hAnsi="Times New Roman" w:cs="Times New Roman"/>
          <w:b/>
          <w:sz w:val="24"/>
          <w:szCs w:val="24"/>
        </w:rPr>
        <w:tab/>
      </w:r>
      <w:r w:rsidRPr="008420D0">
        <w:rPr>
          <w:rFonts w:ascii="Times New Roman" w:eastAsia="Calibri" w:hAnsi="Times New Roman" w:cs="Times New Roman"/>
          <w:b/>
          <w:sz w:val="24"/>
          <w:szCs w:val="24"/>
        </w:rPr>
        <w:tab/>
      </w:r>
      <w:r w:rsidRPr="008420D0">
        <w:rPr>
          <w:rFonts w:ascii="Times New Roman" w:eastAsia="Calibri" w:hAnsi="Times New Roman" w:cs="Times New Roman"/>
          <w:b/>
          <w:sz w:val="24"/>
          <w:szCs w:val="24"/>
        </w:rPr>
        <w:tab/>
        <w:t>iv.</w:t>
      </w:r>
      <w:r w:rsidRPr="008420D0">
        <w:rPr>
          <w:rFonts w:ascii="Times New Roman" w:eastAsia="Calibri" w:hAnsi="Times New Roman" w:cs="Times New Roman"/>
          <w:b/>
          <w:sz w:val="24"/>
          <w:szCs w:val="24"/>
        </w:rPr>
        <w:tab/>
        <w:t>Exhibits</w:t>
      </w:r>
    </w:p>
    <w:p w:rsidR="00C83B50" w:rsidRDefault="00C83B50" w:rsidP="00A807FA">
      <w:pPr>
        <w:widowControl w:val="0"/>
        <w:spacing w:after="0" w:line="480" w:lineRule="auto"/>
        <w:ind w:firstLine="720"/>
        <w:jc w:val="both"/>
        <w:rPr>
          <w:rFonts w:ascii="Times New Roman" w:eastAsia="Calibri" w:hAnsi="Times New Roman" w:cs="Times New Roman"/>
          <w:sz w:val="24"/>
          <w:szCs w:val="24"/>
        </w:rPr>
      </w:pPr>
      <w:r w:rsidRPr="008420D0">
        <w:rPr>
          <w:rFonts w:ascii="Times New Roman" w:eastAsia="Calibri" w:hAnsi="Times New Roman" w:cs="Times New Roman"/>
          <w:sz w:val="24"/>
          <w:szCs w:val="24"/>
        </w:rPr>
        <w:t>Exhibits can be anything, besides testimony, that can be presented as evidence in the courtroom.</w:t>
      </w:r>
      <w:r w:rsidRPr="008420D0">
        <w:rPr>
          <w:rFonts w:ascii="Times New Roman" w:eastAsia="Calibri" w:hAnsi="Times New Roman" w:cs="Times New Roman"/>
          <w:sz w:val="24"/>
          <w:szCs w:val="24"/>
          <w:vertAlign w:val="superscript"/>
        </w:rPr>
        <w:footnoteReference w:id="77"/>
      </w:r>
      <w:r w:rsidRPr="008420D0">
        <w:rPr>
          <w:rFonts w:ascii="Times New Roman" w:eastAsia="Calibri" w:hAnsi="Times New Roman" w:cs="Times New Roman"/>
          <w:sz w:val="24"/>
          <w:szCs w:val="24"/>
        </w:rPr>
        <w:t xml:space="preserve">  In a confirmation hearing, an exhibit can be anything from a visual aid that breaks down an appraiser’s calculations, to an aerial photograph of the property and surrounding properties.  Exhibits can be very useful tools in real estate litigation because they can have an immediate impact on the trier of fact.  It would be ideal if every trier of fact could visit the </w:t>
      </w:r>
      <w:r w:rsidR="00AF5D9C" w:rsidRPr="008420D0">
        <w:rPr>
          <w:rFonts w:ascii="Times New Roman" w:eastAsia="Calibri" w:hAnsi="Times New Roman" w:cs="Times New Roman"/>
          <w:sz w:val="24"/>
          <w:szCs w:val="24"/>
        </w:rPr>
        <w:t>subject</w:t>
      </w:r>
      <w:r w:rsidRPr="008420D0">
        <w:rPr>
          <w:rFonts w:ascii="Times New Roman" w:eastAsia="Calibri" w:hAnsi="Times New Roman" w:cs="Times New Roman"/>
          <w:sz w:val="24"/>
          <w:szCs w:val="24"/>
        </w:rPr>
        <w:t xml:space="preserve"> property.  Short of that, however, pictures say more than </w:t>
      </w:r>
      <w:r w:rsidR="00AF5D9C" w:rsidRPr="008420D0">
        <w:rPr>
          <w:rFonts w:ascii="Times New Roman" w:eastAsia="Calibri" w:hAnsi="Times New Roman" w:cs="Times New Roman"/>
          <w:sz w:val="24"/>
          <w:szCs w:val="24"/>
        </w:rPr>
        <w:t>a</w:t>
      </w:r>
      <w:r w:rsidRPr="008420D0">
        <w:rPr>
          <w:rFonts w:ascii="Times New Roman" w:eastAsia="Calibri" w:hAnsi="Times New Roman" w:cs="Times New Roman"/>
          <w:sz w:val="24"/>
          <w:szCs w:val="24"/>
        </w:rPr>
        <w:t xml:space="preserve"> thousand words.  In a real estate case, seeing the property, especially in comparison to those used as comparables in an appraisal, gives invaluable context and heightens the judge’s interest.  A well-placed exhibit can create a connection between the judge and your case that will help you explain your client’s position.  </w:t>
      </w:r>
    </w:p>
    <w:p w:rsidR="001D7912" w:rsidRPr="008420D0" w:rsidRDefault="001D7912" w:rsidP="00A807FA">
      <w:pPr>
        <w:widowControl w:val="0"/>
        <w:spacing w:after="0" w:line="480" w:lineRule="auto"/>
        <w:ind w:firstLine="720"/>
        <w:jc w:val="both"/>
        <w:rPr>
          <w:rFonts w:ascii="Times New Roman" w:eastAsia="Calibri" w:hAnsi="Times New Roman" w:cs="Times New Roman"/>
          <w:sz w:val="24"/>
          <w:szCs w:val="24"/>
        </w:rPr>
      </w:pPr>
    </w:p>
    <w:p w:rsidR="00C83B50" w:rsidRPr="008420D0" w:rsidRDefault="00C83B50" w:rsidP="00A807FA">
      <w:pPr>
        <w:widowControl w:val="0"/>
        <w:spacing w:after="0" w:line="480" w:lineRule="auto"/>
        <w:ind w:firstLine="720"/>
        <w:jc w:val="both"/>
        <w:rPr>
          <w:rFonts w:ascii="Times New Roman" w:eastAsia="Calibri" w:hAnsi="Times New Roman" w:cs="Times New Roman"/>
          <w:sz w:val="24"/>
          <w:szCs w:val="24"/>
        </w:rPr>
      </w:pPr>
      <w:r w:rsidRPr="008420D0">
        <w:rPr>
          <w:rFonts w:ascii="Times New Roman" w:eastAsia="Calibri" w:hAnsi="Times New Roman" w:cs="Times New Roman"/>
          <w:sz w:val="24"/>
          <w:szCs w:val="24"/>
        </w:rPr>
        <w:lastRenderedPageBreak/>
        <w:t xml:space="preserve">When used properly, exhibits can convey a tremendous amount of information in a manner that the trier of fact can understand and remember.  Appraisal calculations can be confusing, so blowing them up on an exhibit board, and breaking them down in a manner that is easy to explain, can be incredibly useful to the judge. </w:t>
      </w:r>
    </w:p>
    <w:p w:rsidR="00C83B50" w:rsidRPr="008420D0" w:rsidRDefault="00C83B50" w:rsidP="00A807FA">
      <w:pPr>
        <w:widowControl w:val="0"/>
        <w:spacing w:after="0" w:line="480" w:lineRule="auto"/>
        <w:ind w:firstLine="720"/>
        <w:jc w:val="both"/>
        <w:rPr>
          <w:rFonts w:ascii="Times New Roman" w:eastAsia="Calibri" w:hAnsi="Times New Roman" w:cs="Times New Roman"/>
          <w:sz w:val="24"/>
          <w:szCs w:val="24"/>
        </w:rPr>
      </w:pPr>
      <w:r w:rsidRPr="008420D0">
        <w:rPr>
          <w:rFonts w:ascii="Times New Roman" w:eastAsia="Calibri" w:hAnsi="Times New Roman" w:cs="Times New Roman"/>
          <w:sz w:val="24"/>
          <w:szCs w:val="24"/>
        </w:rPr>
        <w:t xml:space="preserve">When exhibits are improperly </w:t>
      </w:r>
      <w:r w:rsidR="00AF5D9C" w:rsidRPr="008420D0">
        <w:rPr>
          <w:rFonts w:ascii="Times New Roman" w:eastAsia="Calibri" w:hAnsi="Times New Roman" w:cs="Times New Roman"/>
          <w:sz w:val="24"/>
          <w:szCs w:val="24"/>
        </w:rPr>
        <w:t>employed,</w:t>
      </w:r>
      <w:r w:rsidRPr="008420D0">
        <w:rPr>
          <w:rFonts w:ascii="Times New Roman" w:eastAsia="Calibri" w:hAnsi="Times New Roman" w:cs="Times New Roman"/>
          <w:sz w:val="24"/>
          <w:szCs w:val="24"/>
        </w:rPr>
        <w:t xml:space="preserve"> they can confuse the trier of fact and derail your argument.  An exhibit that may seem perfectly clear and logical to an attorney who is familiar with all the facts of the case may not be clear to a judge who has only known about the case for a matter of hours.  A litigator must always be mindful of the audience to whom he or she is presenting an exhibit.  Be certain that the reason for the exhibit and the message the exhibit is conveying are clear.</w:t>
      </w:r>
    </w:p>
    <w:p w:rsidR="00C83B50" w:rsidRPr="008420D0" w:rsidRDefault="00C83B50" w:rsidP="00A807FA">
      <w:pPr>
        <w:widowControl w:val="0"/>
        <w:spacing w:after="0" w:line="480" w:lineRule="auto"/>
        <w:ind w:firstLine="720"/>
        <w:jc w:val="both"/>
        <w:rPr>
          <w:rFonts w:ascii="Times New Roman" w:eastAsia="Calibri" w:hAnsi="Times New Roman" w:cs="Times New Roman"/>
          <w:sz w:val="24"/>
          <w:szCs w:val="24"/>
        </w:rPr>
      </w:pPr>
      <w:r w:rsidRPr="008420D0">
        <w:rPr>
          <w:rFonts w:ascii="Times New Roman" w:eastAsia="Calibri" w:hAnsi="Times New Roman" w:cs="Times New Roman"/>
          <w:sz w:val="24"/>
          <w:szCs w:val="24"/>
        </w:rPr>
        <w:t xml:space="preserve">Like so many elements of trying any real estate case, the most important thing to remember </w:t>
      </w:r>
      <w:r w:rsidR="00AF5D9C" w:rsidRPr="008420D0">
        <w:rPr>
          <w:rFonts w:ascii="Times New Roman" w:eastAsia="Calibri" w:hAnsi="Times New Roman" w:cs="Times New Roman"/>
          <w:sz w:val="24"/>
          <w:szCs w:val="24"/>
        </w:rPr>
        <w:t>about</w:t>
      </w:r>
      <w:r w:rsidRPr="008420D0">
        <w:rPr>
          <w:rFonts w:ascii="Times New Roman" w:eastAsia="Calibri" w:hAnsi="Times New Roman" w:cs="Times New Roman"/>
          <w:sz w:val="24"/>
          <w:szCs w:val="24"/>
        </w:rPr>
        <w:t xml:space="preserve"> exhibits is to plan ahead.  Your entire case should be one consistent message that leads the judge to your inevitable conclusion, and the exhibits you present should punctuate that message.  Consider the elements of your case and incorporate the exhibits that address each element into the appropriate part of your presentation.  Do not introduce an exhibit if it does not clarify or strengthen your message.  Anything that distracts from your consistent message does a disservice to your case and to your client.</w:t>
      </w:r>
    </w:p>
    <w:p w:rsidR="00C83B50" w:rsidRPr="008420D0" w:rsidRDefault="00C83B50" w:rsidP="00A807FA">
      <w:pPr>
        <w:widowControl w:val="0"/>
        <w:spacing w:after="0" w:line="480" w:lineRule="auto"/>
        <w:jc w:val="both"/>
        <w:rPr>
          <w:rFonts w:ascii="Times New Roman" w:eastAsia="Calibri" w:hAnsi="Times New Roman" w:cs="Times New Roman"/>
          <w:sz w:val="24"/>
          <w:szCs w:val="24"/>
        </w:rPr>
      </w:pPr>
      <w:r w:rsidRPr="008420D0">
        <w:rPr>
          <w:rFonts w:ascii="Times New Roman" w:eastAsia="Calibri" w:hAnsi="Times New Roman" w:cs="Times New Roman"/>
          <w:sz w:val="24"/>
          <w:szCs w:val="24"/>
        </w:rPr>
        <w:t xml:space="preserve">If you have tried a clean case, entered the evidence as you designed, and set up the case you thought of months ago, you have done all you can do.  The resolution rests in the hands of the judge. </w:t>
      </w:r>
    </w:p>
    <w:p w:rsidR="00C83B50" w:rsidRPr="008420D0" w:rsidRDefault="00AF5D9C" w:rsidP="00A807FA">
      <w:pPr>
        <w:pStyle w:val="BodyText"/>
        <w:keepNext/>
        <w:ind w:left="720"/>
        <w:jc w:val="both"/>
        <w:rPr>
          <w:b/>
          <w:szCs w:val="24"/>
        </w:rPr>
      </w:pPr>
      <w:r w:rsidRPr="008420D0">
        <w:rPr>
          <w:b/>
          <w:szCs w:val="24"/>
        </w:rPr>
        <w:t>E.</w:t>
      </w:r>
      <w:r w:rsidRPr="008420D0">
        <w:rPr>
          <w:b/>
          <w:szCs w:val="24"/>
        </w:rPr>
        <w:tab/>
      </w:r>
      <w:r w:rsidR="00C83B50" w:rsidRPr="008420D0">
        <w:rPr>
          <w:b/>
          <w:szCs w:val="24"/>
          <w:u w:val="single"/>
        </w:rPr>
        <w:t>The Court’s Ruling: Deny, Confirm, or Re-sale</w:t>
      </w:r>
    </w:p>
    <w:p w:rsidR="00C83B50" w:rsidRPr="008420D0" w:rsidRDefault="00C83B50" w:rsidP="00A807FA">
      <w:pPr>
        <w:pStyle w:val="ListParagraph"/>
        <w:keepNext/>
        <w:spacing w:line="480" w:lineRule="auto"/>
        <w:ind w:left="0" w:firstLine="720"/>
        <w:jc w:val="both"/>
        <w:rPr>
          <w:rFonts w:ascii="Times New Roman" w:hAnsi="Times New Roman"/>
        </w:rPr>
      </w:pPr>
      <w:r w:rsidRPr="008420D0">
        <w:rPr>
          <w:rFonts w:ascii="Times New Roman" w:hAnsi="Times New Roman"/>
        </w:rPr>
        <w:t>At the conclusion of the hearing, the judge must make specific findings of fact concerning the adequacy of the sales price.  A mere recitation of the lega</w:t>
      </w:r>
      <w:r w:rsidR="00AF5D9C" w:rsidRPr="008420D0">
        <w:rPr>
          <w:rFonts w:ascii="Times New Roman" w:hAnsi="Times New Roman"/>
        </w:rPr>
        <w:t xml:space="preserve">l conclusion is </w:t>
      </w:r>
      <w:r w:rsidR="00AF5D9C" w:rsidRPr="008420D0">
        <w:rPr>
          <w:rFonts w:ascii="Times New Roman" w:hAnsi="Times New Roman"/>
        </w:rPr>
        <w:lastRenderedPageBreak/>
        <w:t>insufficient; findings of fact must support the conclusion</w:t>
      </w:r>
      <w:r w:rsidRPr="008420D0">
        <w:rPr>
          <w:rFonts w:ascii="Times New Roman" w:hAnsi="Times New Roman"/>
        </w:rPr>
        <w:t>.</w:t>
      </w:r>
      <w:r w:rsidRPr="008420D0">
        <w:rPr>
          <w:rStyle w:val="FootnoteReference"/>
          <w:rFonts w:ascii="Times New Roman" w:hAnsi="Times New Roman"/>
        </w:rPr>
        <w:footnoteReference w:id="78"/>
      </w:r>
      <w:r w:rsidRPr="008420D0">
        <w:rPr>
          <w:rFonts w:ascii="Times New Roman" w:hAnsi="Times New Roman"/>
        </w:rPr>
        <w:t xml:space="preserve">  If either element is missing, regularity of the sale or failure to sell for true market value, the court must deny the confirmation.</w:t>
      </w:r>
      <w:r w:rsidRPr="008420D0">
        <w:rPr>
          <w:rStyle w:val="FootnoteReference"/>
          <w:rFonts w:ascii="Times New Roman" w:hAnsi="Times New Roman"/>
        </w:rPr>
        <w:footnoteReference w:id="79"/>
      </w:r>
      <w:r w:rsidRPr="008420D0">
        <w:rPr>
          <w:rFonts w:ascii="Times New Roman" w:hAnsi="Times New Roman"/>
        </w:rPr>
        <w:t xml:space="preserve">  However, if the lender fails to prove that the property sold for fair market value, the court may authorize resale.</w:t>
      </w:r>
      <w:r w:rsidRPr="008420D0">
        <w:rPr>
          <w:rStyle w:val="FootnoteReference"/>
          <w:rFonts w:ascii="Times New Roman" w:hAnsi="Times New Roman"/>
        </w:rPr>
        <w:footnoteReference w:id="80"/>
      </w:r>
    </w:p>
    <w:p w:rsidR="00C83B50" w:rsidRPr="008420D0" w:rsidRDefault="00C83B50" w:rsidP="00A807FA">
      <w:pPr>
        <w:pStyle w:val="ListParagraph"/>
        <w:spacing w:line="480" w:lineRule="auto"/>
        <w:ind w:left="0" w:firstLine="720"/>
        <w:jc w:val="both"/>
        <w:rPr>
          <w:rFonts w:ascii="Times New Roman" w:hAnsi="Times New Roman"/>
        </w:rPr>
      </w:pPr>
      <w:r w:rsidRPr="008420D0">
        <w:rPr>
          <w:rFonts w:ascii="Times New Roman" w:hAnsi="Times New Roman"/>
        </w:rPr>
        <w:t xml:space="preserve"> The confirmation statute states that the court may only order a resale of the property “for good cause shown.”</w:t>
      </w:r>
      <w:r w:rsidRPr="008420D0">
        <w:rPr>
          <w:rStyle w:val="FootnoteReference"/>
          <w:rFonts w:ascii="Times New Roman" w:hAnsi="Times New Roman"/>
        </w:rPr>
        <w:footnoteReference w:id="81"/>
      </w:r>
      <w:r w:rsidRPr="008420D0">
        <w:rPr>
          <w:rFonts w:ascii="Times New Roman" w:hAnsi="Times New Roman"/>
        </w:rPr>
        <w:t xml:space="preserve"> The right is not automatic. “[T]here is no presumption in favor of resale and there is no entitlement to a resale.”</w:t>
      </w:r>
      <w:r w:rsidRPr="008420D0">
        <w:rPr>
          <w:rStyle w:val="FootnoteReference"/>
          <w:rFonts w:ascii="Times New Roman" w:hAnsi="Times New Roman"/>
        </w:rPr>
        <w:footnoteReference w:id="82"/>
      </w:r>
      <w:r w:rsidRPr="008420D0">
        <w:rPr>
          <w:rFonts w:ascii="Times New Roman" w:hAnsi="Times New Roman"/>
        </w:rPr>
        <w:t xml:space="preserve"> The court has discretion to grant</w:t>
      </w:r>
      <w:r w:rsidR="00AF5D9C" w:rsidRPr="008420D0">
        <w:rPr>
          <w:rFonts w:ascii="Times New Roman" w:hAnsi="Times New Roman"/>
        </w:rPr>
        <w:t xml:space="preserve"> re-sale and it i</w:t>
      </w:r>
      <w:r w:rsidRPr="008420D0">
        <w:rPr>
          <w:rFonts w:ascii="Times New Roman" w:hAnsi="Times New Roman"/>
        </w:rPr>
        <w:t xml:space="preserve">s the creditor’s burden to prove good cause as to why it should be given another bite at the apple.  </w:t>
      </w:r>
    </w:p>
    <w:p w:rsidR="00C83B50" w:rsidRPr="008420D0" w:rsidRDefault="00C83B50" w:rsidP="00A807FA">
      <w:pPr>
        <w:pStyle w:val="ListParagraph"/>
        <w:spacing w:line="480" w:lineRule="auto"/>
        <w:ind w:left="0" w:firstLine="720"/>
        <w:jc w:val="both"/>
        <w:rPr>
          <w:rFonts w:ascii="Times New Roman" w:hAnsi="Times New Roman"/>
        </w:rPr>
      </w:pPr>
      <w:r w:rsidRPr="008420D0">
        <w:rPr>
          <w:rFonts w:ascii="Times New Roman" w:hAnsi="Times New Roman"/>
        </w:rPr>
        <w:t>The confirmation hearing is limited and the court cannot determine any issues regarding the underlying debt or possible defenses the debtor may have.</w:t>
      </w:r>
      <w:r w:rsidRPr="008420D0">
        <w:rPr>
          <w:rStyle w:val="FootnoteReference"/>
          <w:rFonts w:ascii="Times New Roman" w:hAnsi="Times New Roman"/>
        </w:rPr>
        <w:footnoteReference w:id="83"/>
      </w:r>
      <w:r w:rsidRPr="008420D0">
        <w:rPr>
          <w:rFonts w:ascii="Times New Roman" w:hAnsi="Times New Roman"/>
        </w:rPr>
        <w:t xml:space="preserve">  Strategically, however, if there are any facts that show bad faith conduct on the part of the lender, while they may not be legally relevant, they may sway a judge on the fence to deny confirmation instead of granting a re-sale.  For example, if the lender is a bank and it accepted TARP funds, it never hurts to point out that the bank is certainly not using those funds to work anything out with your client.    </w:t>
      </w:r>
    </w:p>
    <w:p w:rsidR="00C83B50" w:rsidRPr="008420D0" w:rsidRDefault="00C83B50" w:rsidP="00A807FA">
      <w:pPr>
        <w:pStyle w:val="BodyText"/>
        <w:widowControl w:val="0"/>
        <w:ind w:firstLine="720"/>
        <w:jc w:val="both"/>
        <w:rPr>
          <w:b/>
          <w:szCs w:val="24"/>
        </w:rPr>
      </w:pPr>
      <w:r w:rsidRPr="008420D0">
        <w:rPr>
          <w:szCs w:val="24"/>
        </w:rPr>
        <w:t xml:space="preserve">Confirmation hearings are surprisingly short, yet pivotal trials that can either save or cost </w:t>
      </w:r>
      <w:r w:rsidR="00AF5D9C" w:rsidRPr="008420D0">
        <w:rPr>
          <w:szCs w:val="24"/>
        </w:rPr>
        <w:t>borrowers and guarantors</w:t>
      </w:r>
      <w:r w:rsidRPr="008420D0">
        <w:rPr>
          <w:szCs w:val="24"/>
        </w:rPr>
        <w:t xml:space="preserve"> a lot of money.  Abundant case law on the confirmation statute shows </w:t>
      </w:r>
      <w:r w:rsidRPr="008420D0">
        <w:rPr>
          <w:szCs w:val="24"/>
        </w:rPr>
        <w:lastRenderedPageBreak/>
        <w:t xml:space="preserve">that, because it is strictly construed, an attorney that knows her stuff, pays attention to detail, and invests significant time and energy into preparing for the hearing, can secure success for her client.  Thus the key to litigating the confirmation action is: 1) understanding the requirements of the confirmation statute, inside and out, 2) analyzing the facts to determine whether you have a strong case, 3) preparing your trial brief, outlines of the direct and cross-examinations, and any helpful exhibits; and 4) hoping that at the end of the day, the judge likes your client better.     </w:t>
      </w:r>
    </w:p>
    <w:p w:rsidR="00C83B50" w:rsidRPr="008420D0" w:rsidRDefault="00AF5D9C" w:rsidP="00A807FA">
      <w:pPr>
        <w:spacing w:after="0" w:line="480" w:lineRule="auto"/>
        <w:jc w:val="both"/>
        <w:rPr>
          <w:rFonts w:ascii="Times New Roman" w:hAnsi="Times New Roman" w:cs="Times New Roman"/>
          <w:b/>
          <w:sz w:val="24"/>
          <w:szCs w:val="24"/>
        </w:rPr>
      </w:pPr>
      <w:r w:rsidRPr="008420D0">
        <w:rPr>
          <w:rFonts w:ascii="Times New Roman" w:hAnsi="Times New Roman" w:cs="Times New Roman"/>
          <w:b/>
          <w:sz w:val="24"/>
          <w:szCs w:val="24"/>
        </w:rPr>
        <w:t>II</w:t>
      </w:r>
      <w:r w:rsidR="00C83B50" w:rsidRPr="008420D0">
        <w:rPr>
          <w:rFonts w:ascii="Times New Roman" w:hAnsi="Times New Roman" w:cs="Times New Roman"/>
          <w:b/>
          <w:sz w:val="24"/>
          <w:szCs w:val="24"/>
        </w:rPr>
        <w:t>.</w:t>
      </w:r>
      <w:r w:rsidR="00C83B50" w:rsidRPr="008420D0">
        <w:rPr>
          <w:rFonts w:ascii="Times New Roman" w:hAnsi="Times New Roman" w:cs="Times New Roman"/>
          <w:b/>
          <w:sz w:val="24"/>
          <w:szCs w:val="24"/>
        </w:rPr>
        <w:tab/>
      </w:r>
      <w:r w:rsidRPr="008420D0">
        <w:rPr>
          <w:rFonts w:ascii="Times New Roman" w:hAnsi="Times New Roman" w:cs="Times New Roman"/>
          <w:b/>
          <w:sz w:val="24"/>
          <w:szCs w:val="24"/>
        </w:rPr>
        <w:t>SUITS ON PROMISSORY NOTES AND GUARANTIES</w:t>
      </w:r>
    </w:p>
    <w:p w:rsidR="00F81E65" w:rsidRPr="008420D0" w:rsidRDefault="00F81E65" w:rsidP="00A807FA">
      <w:pPr>
        <w:spacing w:after="0" w:line="480" w:lineRule="auto"/>
        <w:jc w:val="both"/>
        <w:rPr>
          <w:rFonts w:ascii="Times New Roman" w:hAnsi="Times New Roman" w:cs="Times New Roman"/>
          <w:sz w:val="24"/>
          <w:szCs w:val="24"/>
        </w:rPr>
      </w:pPr>
      <w:r w:rsidRPr="008420D0">
        <w:rPr>
          <w:rFonts w:ascii="Times New Roman" w:hAnsi="Times New Roman" w:cs="Times New Roman"/>
          <w:sz w:val="24"/>
          <w:szCs w:val="24"/>
        </w:rPr>
        <w:tab/>
        <w:t>A lender may file suit on a promissory note and guaranties in lieu of foreclosing on real property that serves as collateral for the loan.  When this occurs, instead of being given credit for the value of the collateral, the borrower is often placed in the precarious position of being sued for the full amount owed under the loan (rather than the full amount less any credit given for the foreclosure sale of collateral) and retaining ownership of real property that has likely lost much of its value.</w:t>
      </w:r>
    </w:p>
    <w:p w:rsidR="00C83B50" w:rsidRPr="008420D0" w:rsidRDefault="00C83B50" w:rsidP="00A807FA">
      <w:pPr>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b/>
          <w:sz w:val="24"/>
          <w:szCs w:val="24"/>
        </w:rPr>
        <w:t>A</w:t>
      </w:r>
      <w:r w:rsidRPr="008420D0">
        <w:rPr>
          <w:rFonts w:ascii="Times New Roman" w:hAnsi="Times New Roman" w:cs="Times New Roman"/>
          <w:sz w:val="24"/>
          <w:szCs w:val="24"/>
        </w:rPr>
        <w:t>.</w:t>
      </w:r>
      <w:r w:rsidRPr="008420D0">
        <w:rPr>
          <w:rFonts w:ascii="Times New Roman" w:hAnsi="Times New Roman" w:cs="Times New Roman"/>
          <w:b/>
          <w:sz w:val="24"/>
          <w:szCs w:val="24"/>
        </w:rPr>
        <w:tab/>
      </w:r>
      <w:r w:rsidRPr="008420D0">
        <w:rPr>
          <w:rFonts w:ascii="Times New Roman" w:hAnsi="Times New Roman" w:cs="Times New Roman"/>
          <w:b/>
          <w:sz w:val="24"/>
          <w:szCs w:val="24"/>
          <w:u w:val="single"/>
        </w:rPr>
        <w:t>General Considerations When Reviewing Loan Agreements</w:t>
      </w:r>
      <w:r w:rsidRPr="008420D0">
        <w:rPr>
          <w:rFonts w:ascii="Times New Roman" w:hAnsi="Times New Roman" w:cs="Times New Roman"/>
          <w:b/>
          <w:sz w:val="24"/>
          <w:szCs w:val="24"/>
        </w:rPr>
        <w:tab/>
      </w:r>
    </w:p>
    <w:p w:rsidR="00C83B50" w:rsidRPr="008420D0" w:rsidRDefault="00C83B50" w:rsidP="00A807FA">
      <w:pPr>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 xml:space="preserve">In lawsuits where banking or credit institutions bring claims against debtors for breach of the underlying loan agreements, it is important to make an initial review of those agreements when the </w:t>
      </w:r>
      <w:r w:rsidR="00AF5D9C" w:rsidRPr="008420D0">
        <w:rPr>
          <w:rFonts w:ascii="Times New Roman" w:hAnsi="Times New Roman" w:cs="Times New Roman"/>
          <w:sz w:val="24"/>
          <w:szCs w:val="24"/>
        </w:rPr>
        <w:t xml:space="preserve">bank commences the </w:t>
      </w:r>
      <w:r w:rsidRPr="008420D0">
        <w:rPr>
          <w:rFonts w:ascii="Times New Roman" w:hAnsi="Times New Roman" w:cs="Times New Roman"/>
          <w:sz w:val="24"/>
          <w:szCs w:val="24"/>
        </w:rPr>
        <w:t>lawsuit.  This review is to determine if on the face of the loan agreements there are any defenses, including affirmative defenses, available to the debtor.</w:t>
      </w:r>
    </w:p>
    <w:p w:rsidR="00C83B50" w:rsidRPr="008420D0" w:rsidRDefault="00C83B50" w:rsidP="00A807FA">
      <w:pPr>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 xml:space="preserve">First, make a general review of whether the loan agreements are complete.  Included in this review is whether the loan agreements have been fully executed by the bank and the debtor.  Take note of whether there are any lines </w:t>
      </w:r>
      <w:r w:rsidR="00F81E65" w:rsidRPr="008420D0">
        <w:rPr>
          <w:rFonts w:ascii="Times New Roman" w:hAnsi="Times New Roman" w:cs="Times New Roman"/>
          <w:sz w:val="24"/>
          <w:szCs w:val="24"/>
        </w:rPr>
        <w:t>are blank</w:t>
      </w:r>
      <w:r w:rsidRPr="008420D0">
        <w:rPr>
          <w:rFonts w:ascii="Times New Roman" w:hAnsi="Times New Roman" w:cs="Times New Roman"/>
          <w:sz w:val="24"/>
          <w:szCs w:val="24"/>
        </w:rPr>
        <w:t>, and whether those may be significant.</w:t>
      </w:r>
    </w:p>
    <w:p w:rsidR="00C83B50" w:rsidRPr="008420D0" w:rsidRDefault="00C83B50" w:rsidP="00A807FA">
      <w:pPr>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 xml:space="preserve">Assuming that the loan agreements </w:t>
      </w:r>
      <w:r w:rsidR="00F81E65" w:rsidRPr="008420D0">
        <w:rPr>
          <w:rFonts w:ascii="Times New Roman" w:hAnsi="Times New Roman" w:cs="Times New Roman"/>
          <w:sz w:val="24"/>
          <w:szCs w:val="24"/>
        </w:rPr>
        <w:t>are</w:t>
      </w:r>
      <w:r w:rsidRPr="008420D0">
        <w:rPr>
          <w:rFonts w:ascii="Times New Roman" w:hAnsi="Times New Roman" w:cs="Times New Roman"/>
          <w:sz w:val="24"/>
          <w:szCs w:val="24"/>
        </w:rPr>
        <w:t xml:space="preserve"> fully executed, the second inquiry is whether the agreements were properly executed.  First, ensure that the persons signing for both the bank of </w:t>
      </w:r>
      <w:r w:rsidRPr="008420D0">
        <w:rPr>
          <w:rFonts w:ascii="Times New Roman" w:hAnsi="Times New Roman" w:cs="Times New Roman"/>
          <w:sz w:val="24"/>
          <w:szCs w:val="24"/>
        </w:rPr>
        <w:lastRenderedPageBreak/>
        <w:t>the debtor actually had the authority to execute loan.  Second, note whether the loan agreements were properly witnessed.  If there is a requirement in the jurisdiction that the agreements must be notarized, make sure that the notarization is properly executed.  Finally, review whether any amendments to the loan agreements were properly executed.</w:t>
      </w:r>
    </w:p>
    <w:p w:rsidR="00C83B50" w:rsidRPr="008420D0" w:rsidRDefault="00C83B50" w:rsidP="00A807FA">
      <w:pPr>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 xml:space="preserve">Third, if the proceeds of the loans were used to purchase real estate, </w:t>
      </w:r>
      <w:r w:rsidR="00F81E65" w:rsidRPr="008420D0">
        <w:rPr>
          <w:rFonts w:ascii="Times New Roman" w:hAnsi="Times New Roman" w:cs="Times New Roman"/>
          <w:sz w:val="24"/>
          <w:szCs w:val="24"/>
        </w:rPr>
        <w:t>and the</w:t>
      </w:r>
      <w:r w:rsidRPr="008420D0">
        <w:rPr>
          <w:rFonts w:ascii="Times New Roman" w:hAnsi="Times New Roman" w:cs="Times New Roman"/>
          <w:sz w:val="24"/>
          <w:szCs w:val="24"/>
        </w:rPr>
        <w:t xml:space="preserve"> property secured the loan agreements, determine whether the lending institution properly recorded the deeds.  If the loans were collateralized such that the lender must file UCC financing statements, determine whether the lending institution filed those statements properly.</w:t>
      </w:r>
    </w:p>
    <w:p w:rsidR="00C83B50" w:rsidRPr="008420D0" w:rsidRDefault="00C83B50" w:rsidP="00A807FA">
      <w:pPr>
        <w:spacing w:after="0" w:line="480" w:lineRule="auto"/>
        <w:ind w:firstLine="720"/>
        <w:jc w:val="both"/>
        <w:rPr>
          <w:rFonts w:ascii="Times New Roman" w:hAnsi="Times New Roman" w:cs="Times New Roman"/>
          <w:b/>
          <w:sz w:val="24"/>
          <w:szCs w:val="24"/>
        </w:rPr>
      </w:pPr>
      <w:r w:rsidRPr="008420D0">
        <w:rPr>
          <w:rFonts w:ascii="Times New Roman" w:hAnsi="Times New Roman" w:cs="Times New Roman"/>
          <w:b/>
          <w:sz w:val="24"/>
          <w:szCs w:val="24"/>
        </w:rPr>
        <w:t>B.</w:t>
      </w:r>
      <w:r w:rsidRPr="008420D0">
        <w:rPr>
          <w:rFonts w:ascii="Times New Roman" w:hAnsi="Times New Roman" w:cs="Times New Roman"/>
          <w:b/>
          <w:sz w:val="24"/>
          <w:szCs w:val="24"/>
        </w:rPr>
        <w:tab/>
      </w:r>
      <w:r w:rsidRPr="008420D0">
        <w:rPr>
          <w:rFonts w:ascii="Times New Roman" w:hAnsi="Times New Roman" w:cs="Times New Roman"/>
          <w:b/>
          <w:sz w:val="24"/>
          <w:szCs w:val="24"/>
          <w:u w:val="single"/>
        </w:rPr>
        <w:t>Procedural Issues Which May Provide Defenses</w:t>
      </w:r>
    </w:p>
    <w:p w:rsidR="00C83B50" w:rsidRPr="008420D0" w:rsidRDefault="00C83B50" w:rsidP="00A807FA">
      <w:pPr>
        <w:spacing w:after="0" w:line="480" w:lineRule="auto"/>
        <w:jc w:val="both"/>
        <w:rPr>
          <w:rFonts w:ascii="Times New Roman" w:hAnsi="Times New Roman" w:cs="Times New Roman"/>
          <w:sz w:val="24"/>
          <w:szCs w:val="24"/>
        </w:rPr>
      </w:pPr>
      <w:r w:rsidRPr="008420D0">
        <w:rPr>
          <w:rFonts w:ascii="Times New Roman" w:hAnsi="Times New Roman" w:cs="Times New Roman"/>
          <w:sz w:val="24"/>
          <w:szCs w:val="24"/>
        </w:rPr>
        <w:tab/>
        <w:t>There are numerous procedural issues to examine, which may provide a defense to the lending institution’s claims for breach.</w:t>
      </w:r>
      <w:r w:rsidR="001E2454" w:rsidRPr="008420D0">
        <w:rPr>
          <w:rFonts w:ascii="Times New Roman" w:hAnsi="Times New Roman" w:cs="Times New Roman"/>
          <w:sz w:val="24"/>
          <w:szCs w:val="24"/>
        </w:rPr>
        <w:t xml:space="preserve">  Two will be examined here.</w:t>
      </w:r>
    </w:p>
    <w:p w:rsidR="00C83B50" w:rsidRPr="008420D0" w:rsidRDefault="001E2454" w:rsidP="00A807FA">
      <w:pPr>
        <w:numPr>
          <w:ilvl w:val="0"/>
          <w:numId w:val="1"/>
        </w:numPr>
        <w:spacing w:after="0" w:line="480" w:lineRule="auto"/>
        <w:jc w:val="both"/>
        <w:rPr>
          <w:rFonts w:ascii="Times New Roman" w:hAnsi="Times New Roman" w:cs="Times New Roman"/>
          <w:b/>
          <w:sz w:val="24"/>
          <w:szCs w:val="24"/>
        </w:rPr>
      </w:pPr>
      <w:r w:rsidRPr="008420D0">
        <w:rPr>
          <w:rFonts w:ascii="Times New Roman" w:hAnsi="Times New Roman" w:cs="Times New Roman"/>
          <w:b/>
          <w:sz w:val="24"/>
          <w:szCs w:val="24"/>
        </w:rPr>
        <w:t>Did the Bank Accelerate the Loan in Good Faith?</w:t>
      </w:r>
    </w:p>
    <w:p w:rsidR="00C83B50" w:rsidRPr="008420D0" w:rsidRDefault="00C83B50" w:rsidP="00AB4C38">
      <w:pPr>
        <w:spacing w:after="0" w:line="480" w:lineRule="auto"/>
        <w:jc w:val="both"/>
        <w:rPr>
          <w:rFonts w:ascii="Times New Roman" w:hAnsi="Times New Roman" w:cs="Times New Roman"/>
          <w:sz w:val="24"/>
          <w:szCs w:val="24"/>
        </w:rPr>
      </w:pPr>
      <w:r w:rsidRPr="008420D0">
        <w:rPr>
          <w:rFonts w:ascii="Times New Roman" w:hAnsi="Times New Roman" w:cs="Times New Roman"/>
          <w:sz w:val="24"/>
          <w:szCs w:val="24"/>
        </w:rPr>
        <w:tab/>
        <w:t>The first inquiry is whether the loan matured on its own terms or whether the bank accelerated the loan pursuant to an acceleration clause set forth in the loan agreement.  An acceleration clause allows a lender to require payment in full of the remaining loan balance or to accelerate the rate of the loan payment.  In most cases, banks have complete discretion to accelerate the loan.  This discretion, however, is not absolute.</w:t>
      </w:r>
    </w:p>
    <w:p w:rsidR="00C83B50" w:rsidRPr="008420D0" w:rsidRDefault="00C83B50" w:rsidP="00A807FA">
      <w:pPr>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 xml:space="preserve">A lending institution that wants to accelerate a loan must act in good faith and have some reasonable basis for believing that is indebtedness will not be paid in the event of a nonpayment default of the loan agreement.  This good faith requirement is set forth in the codified by Georgia law.  O.C.G.A. § 11-1-208 provides that: “A term providing that one party or his successor in interest may accelerate payment or performance or require collateral or addition collateral ‘at will’ or ‘when he deems himself insecure’ or words of similar import shall be construed to mean </w:t>
      </w:r>
      <w:r w:rsidRPr="008420D0">
        <w:rPr>
          <w:rFonts w:ascii="Times New Roman" w:hAnsi="Times New Roman" w:cs="Times New Roman"/>
          <w:sz w:val="24"/>
          <w:szCs w:val="24"/>
        </w:rPr>
        <w:lastRenderedPageBreak/>
        <w:t>that he shall have power to do so only if he in good faith believes that the prospect of payment and performance is impaired.”  The burden of establishing lack of good faith is on the lending institution and is a question of fact.</w:t>
      </w:r>
      <w:r w:rsidR="001E2454" w:rsidRPr="008420D0">
        <w:rPr>
          <w:rStyle w:val="FootnoteReference"/>
          <w:rFonts w:ascii="Times New Roman" w:hAnsi="Times New Roman" w:cs="Times New Roman"/>
          <w:sz w:val="24"/>
          <w:szCs w:val="24"/>
        </w:rPr>
        <w:footnoteReference w:id="84"/>
      </w:r>
      <w:r w:rsidRPr="008420D0">
        <w:rPr>
          <w:rFonts w:ascii="Times New Roman" w:hAnsi="Times New Roman" w:cs="Times New Roman"/>
          <w:sz w:val="24"/>
          <w:szCs w:val="24"/>
        </w:rPr>
        <w:t xml:space="preserve">  </w:t>
      </w:r>
    </w:p>
    <w:p w:rsidR="00C83B50" w:rsidRPr="008420D0" w:rsidRDefault="001E2454" w:rsidP="00A807FA">
      <w:pPr>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Borrower’s counsel should analyze the following factors to determine</w:t>
      </w:r>
      <w:r w:rsidR="00C83B50" w:rsidRPr="008420D0">
        <w:rPr>
          <w:rFonts w:ascii="Times New Roman" w:hAnsi="Times New Roman" w:cs="Times New Roman"/>
          <w:sz w:val="24"/>
          <w:szCs w:val="24"/>
        </w:rPr>
        <w:t xml:space="preserve"> whether the lending institution accelerated in good faith: at what point in time did the lending institution accelerate, the method by which it accelerated, and on what basis it accelerated.  </w:t>
      </w:r>
    </w:p>
    <w:p w:rsidR="00C83B50" w:rsidRPr="008420D0" w:rsidRDefault="00C83B50" w:rsidP="00A807FA">
      <w:pPr>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Once the determination is made that the lending institution accelerated the loan agreement, there are further considerations that must be analyzed.  Specifically, it must be determined whether the lending institution gave proper notice of acceleration under the terms of the loan agreements.  Further, most loan agreements provide a cure provision after notice is given.  Ensure that the lending institution’s notice provided the proper amount of time to cure the alleged insecurity or alleged default.</w:t>
      </w:r>
    </w:p>
    <w:p w:rsidR="00C83B50" w:rsidRPr="008420D0" w:rsidRDefault="001E2454" w:rsidP="00A807FA">
      <w:pPr>
        <w:pStyle w:val="ListParagraph"/>
        <w:numPr>
          <w:ilvl w:val="0"/>
          <w:numId w:val="1"/>
        </w:numPr>
        <w:spacing w:line="480" w:lineRule="auto"/>
        <w:jc w:val="both"/>
        <w:rPr>
          <w:rFonts w:ascii="Times New Roman" w:hAnsi="Times New Roman"/>
          <w:b/>
        </w:rPr>
      </w:pPr>
      <w:r w:rsidRPr="008420D0">
        <w:rPr>
          <w:rFonts w:ascii="Times New Roman" w:hAnsi="Times New Roman"/>
          <w:b/>
        </w:rPr>
        <w:t>Do the Loan Documents Pass Muster under the Statute of Frauds?</w:t>
      </w:r>
    </w:p>
    <w:p w:rsidR="00021390" w:rsidRPr="008420D0" w:rsidRDefault="00021390" w:rsidP="00A807FA">
      <w:pPr>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The statute of frauds requires that a promise to answer for another’s debt, to be binding on the promisor, “must be in writing and signed by the party to be charged therewith.”</w:t>
      </w:r>
      <w:r w:rsidRPr="008420D0">
        <w:rPr>
          <w:rStyle w:val="FootnoteReference"/>
          <w:rFonts w:ascii="Times New Roman" w:hAnsi="Times New Roman" w:cs="Times New Roman"/>
          <w:sz w:val="24"/>
          <w:szCs w:val="24"/>
        </w:rPr>
        <w:footnoteReference w:id="85"/>
      </w:r>
      <w:r w:rsidR="00F903A7" w:rsidRPr="008420D0">
        <w:rPr>
          <w:rFonts w:ascii="Times New Roman" w:hAnsi="Times New Roman" w:cs="Times New Roman"/>
          <w:sz w:val="24"/>
          <w:szCs w:val="24"/>
        </w:rPr>
        <w:t xml:space="preserve">  Courts interpret this statute to mandate further that a personal guaranty identify the debt, the principal debtor, the promisor and the promissee.</w:t>
      </w:r>
      <w:r w:rsidR="00F903A7" w:rsidRPr="008420D0">
        <w:rPr>
          <w:rStyle w:val="FootnoteReference"/>
          <w:rFonts w:ascii="Times New Roman" w:hAnsi="Times New Roman" w:cs="Times New Roman"/>
          <w:sz w:val="24"/>
          <w:szCs w:val="24"/>
        </w:rPr>
        <w:footnoteReference w:id="86"/>
      </w:r>
      <w:r w:rsidR="00F903A7" w:rsidRPr="008420D0">
        <w:rPr>
          <w:rFonts w:ascii="Times New Roman" w:hAnsi="Times New Roman" w:cs="Times New Roman"/>
          <w:sz w:val="24"/>
          <w:szCs w:val="24"/>
        </w:rPr>
        <w:t xml:space="preserve">  If a guaranty omits the name of the principal debtor, the promissee or the promisor, the guaranty is unenforceable as a matter of law.  Even where the intent of the parties is manifestly obvious, where any of these names are omitted from the </w:t>
      </w:r>
      <w:r w:rsidR="00F903A7" w:rsidRPr="008420D0">
        <w:rPr>
          <w:rFonts w:ascii="Times New Roman" w:hAnsi="Times New Roman" w:cs="Times New Roman"/>
          <w:sz w:val="24"/>
          <w:szCs w:val="24"/>
        </w:rPr>
        <w:lastRenderedPageBreak/>
        <w:t>document, the agreement is not enforceable because it fails to satisfy the statute of frauds.</w:t>
      </w:r>
      <w:r w:rsidR="00F903A7" w:rsidRPr="008420D0">
        <w:rPr>
          <w:rStyle w:val="FootnoteReference"/>
          <w:rFonts w:ascii="Times New Roman" w:hAnsi="Times New Roman" w:cs="Times New Roman"/>
          <w:sz w:val="24"/>
          <w:szCs w:val="24"/>
        </w:rPr>
        <w:footnoteReference w:id="87"/>
      </w:r>
      <w:r w:rsidR="00F903A7" w:rsidRPr="008420D0">
        <w:rPr>
          <w:rFonts w:ascii="Times New Roman" w:hAnsi="Times New Roman" w:cs="Times New Roman"/>
          <w:sz w:val="24"/>
          <w:szCs w:val="24"/>
        </w:rPr>
        <w:t xml:space="preserve">  The court must strictly construe an alleged guaranty contract in favor of the guarantor.</w:t>
      </w:r>
      <w:r w:rsidR="00F903A7" w:rsidRPr="008420D0">
        <w:rPr>
          <w:rStyle w:val="FootnoteReference"/>
          <w:rFonts w:ascii="Times New Roman" w:hAnsi="Times New Roman" w:cs="Times New Roman"/>
          <w:sz w:val="24"/>
          <w:szCs w:val="24"/>
        </w:rPr>
        <w:footnoteReference w:id="88"/>
      </w:r>
    </w:p>
    <w:p w:rsidR="00F903A7" w:rsidRPr="008420D0" w:rsidRDefault="00F903A7" w:rsidP="00A807FA">
      <w:pPr>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 xml:space="preserve">Guarantor’s counsel must closely examine the guaranty documents themselves and run the documents through the statute of frauds analysis.  If the guaranty does not meet the requirements under the statute of frauds, a court cannot enforce it against a guarantor.  For example, the court in </w:t>
      </w:r>
      <w:r w:rsidRPr="008420D0">
        <w:rPr>
          <w:rFonts w:ascii="Times New Roman" w:hAnsi="Times New Roman" w:cs="Times New Roman"/>
          <w:sz w:val="24"/>
          <w:szCs w:val="24"/>
          <w:u w:val="single"/>
        </w:rPr>
        <w:t>Dabbs v. Key Equipment Finance Co.</w:t>
      </w:r>
      <w:r w:rsidRPr="008420D0">
        <w:rPr>
          <w:rFonts w:ascii="Times New Roman" w:hAnsi="Times New Roman" w:cs="Times New Roman"/>
          <w:sz w:val="24"/>
          <w:szCs w:val="24"/>
        </w:rPr>
        <w:t xml:space="preserve"> determined the guaranty was unenforceable when the debt was only identified as “Agreement” and “Agreement was not defined, described or identified.</w:t>
      </w:r>
      <w:r w:rsidRPr="008420D0">
        <w:rPr>
          <w:rStyle w:val="FootnoteReference"/>
          <w:rFonts w:ascii="Times New Roman" w:hAnsi="Times New Roman" w:cs="Times New Roman"/>
          <w:sz w:val="24"/>
          <w:szCs w:val="24"/>
        </w:rPr>
        <w:footnoteReference w:id="89"/>
      </w:r>
      <w:r w:rsidRPr="008420D0">
        <w:rPr>
          <w:rFonts w:ascii="Times New Roman" w:hAnsi="Times New Roman" w:cs="Times New Roman"/>
          <w:sz w:val="24"/>
          <w:szCs w:val="24"/>
        </w:rPr>
        <w:t xml:space="preserve">  The same guaranty was also unenforceable because the principal debtor was only identified as “customer” with no further clue as to who that “customer” might be.</w:t>
      </w:r>
      <w:r w:rsidRPr="008420D0">
        <w:rPr>
          <w:rStyle w:val="FootnoteReference"/>
          <w:rFonts w:ascii="Times New Roman" w:hAnsi="Times New Roman" w:cs="Times New Roman"/>
          <w:sz w:val="24"/>
          <w:szCs w:val="24"/>
        </w:rPr>
        <w:footnoteReference w:id="90"/>
      </w:r>
      <w:r w:rsidRPr="008420D0">
        <w:rPr>
          <w:rFonts w:ascii="Times New Roman" w:hAnsi="Times New Roman" w:cs="Times New Roman"/>
          <w:sz w:val="24"/>
          <w:szCs w:val="24"/>
        </w:rPr>
        <w:t xml:space="preserve">  In </w:t>
      </w:r>
      <w:r w:rsidRPr="008420D0">
        <w:rPr>
          <w:rFonts w:ascii="Times New Roman" w:hAnsi="Times New Roman" w:cs="Times New Roman"/>
          <w:sz w:val="24"/>
          <w:szCs w:val="24"/>
          <w:u w:val="single"/>
        </w:rPr>
        <w:t>Legacy Communities Group, Inc. v. BB&amp;T</w:t>
      </w:r>
      <w:r w:rsidRPr="008420D0">
        <w:rPr>
          <w:rFonts w:ascii="Times New Roman" w:hAnsi="Times New Roman" w:cs="Times New Roman"/>
          <w:sz w:val="24"/>
          <w:szCs w:val="24"/>
        </w:rPr>
        <w:t>, the court determined the guaranties failed to refer to the principal debtor by name and therefore were not enforceable against the guarantors.</w:t>
      </w:r>
      <w:r w:rsidRPr="008420D0">
        <w:rPr>
          <w:rStyle w:val="FootnoteReference"/>
          <w:rFonts w:ascii="Times New Roman" w:hAnsi="Times New Roman" w:cs="Times New Roman"/>
          <w:sz w:val="24"/>
          <w:szCs w:val="24"/>
        </w:rPr>
        <w:footnoteReference w:id="91"/>
      </w:r>
    </w:p>
    <w:p w:rsidR="004D33B0" w:rsidRPr="008420D0" w:rsidRDefault="00DE28A0" w:rsidP="004D33B0">
      <w:pPr>
        <w:pStyle w:val="ListParagraph"/>
        <w:numPr>
          <w:ilvl w:val="0"/>
          <w:numId w:val="1"/>
        </w:numPr>
        <w:spacing w:line="480" w:lineRule="auto"/>
        <w:jc w:val="both"/>
        <w:rPr>
          <w:rFonts w:ascii="Times New Roman" w:hAnsi="Times New Roman"/>
          <w:b/>
        </w:rPr>
      </w:pPr>
      <w:r w:rsidRPr="008420D0">
        <w:rPr>
          <w:rFonts w:ascii="Times New Roman" w:hAnsi="Times New Roman"/>
          <w:b/>
        </w:rPr>
        <w:t>The C</w:t>
      </w:r>
      <w:r w:rsidR="004D33B0" w:rsidRPr="008420D0">
        <w:rPr>
          <w:rFonts w:ascii="Times New Roman" w:hAnsi="Times New Roman"/>
          <w:b/>
        </w:rPr>
        <w:t>hallenge of HWA</w:t>
      </w:r>
      <w:r w:rsidR="00355C33" w:rsidRPr="008420D0">
        <w:rPr>
          <w:rFonts w:ascii="Times New Roman" w:hAnsi="Times New Roman"/>
          <w:b/>
        </w:rPr>
        <w:t xml:space="preserve"> and Its Progeny</w:t>
      </w:r>
    </w:p>
    <w:p w:rsidR="00C93B1D" w:rsidRPr="008420D0" w:rsidRDefault="00355C33" w:rsidP="00A94813">
      <w:pPr>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 xml:space="preserve">In 2013, the Georgia Court of Appeals, </w:t>
      </w:r>
      <w:r w:rsidRPr="008420D0">
        <w:rPr>
          <w:rFonts w:ascii="Times New Roman" w:hAnsi="Times New Roman" w:cs="Times New Roman"/>
          <w:i/>
          <w:sz w:val="24"/>
          <w:szCs w:val="24"/>
        </w:rPr>
        <w:t>sua</w:t>
      </w:r>
      <w:r w:rsidRPr="008420D0">
        <w:rPr>
          <w:rFonts w:ascii="Times New Roman" w:hAnsi="Times New Roman" w:cs="Times New Roman"/>
          <w:sz w:val="24"/>
          <w:szCs w:val="24"/>
        </w:rPr>
        <w:t xml:space="preserve"> </w:t>
      </w:r>
      <w:r w:rsidRPr="008420D0">
        <w:rPr>
          <w:rFonts w:ascii="Times New Roman" w:hAnsi="Times New Roman" w:cs="Times New Roman"/>
          <w:i/>
          <w:sz w:val="24"/>
          <w:szCs w:val="24"/>
        </w:rPr>
        <w:t>sponte</w:t>
      </w:r>
      <w:r w:rsidRPr="008420D0">
        <w:rPr>
          <w:rFonts w:ascii="Times New Roman" w:hAnsi="Times New Roman" w:cs="Times New Roman"/>
          <w:sz w:val="24"/>
          <w:szCs w:val="24"/>
        </w:rPr>
        <w:t>, issued an opinion that was an instant game changer in the defense of debtors during the foreclosure process</w:t>
      </w:r>
      <w:r w:rsidR="00A719E0" w:rsidRPr="008420D0">
        <w:rPr>
          <w:rFonts w:ascii="Times New Roman" w:hAnsi="Times New Roman" w:cs="Times New Roman"/>
          <w:sz w:val="24"/>
          <w:szCs w:val="24"/>
        </w:rPr>
        <w:t xml:space="preserve">.  In </w:t>
      </w:r>
      <w:r w:rsidR="00A719E0" w:rsidRPr="008420D0">
        <w:rPr>
          <w:rFonts w:ascii="Times New Roman" w:hAnsi="Times New Roman" w:cs="Times New Roman"/>
          <w:sz w:val="24"/>
          <w:szCs w:val="24"/>
          <w:u w:val="single"/>
        </w:rPr>
        <w:t>HWA Properties v. Community</w:t>
      </w:r>
      <w:r w:rsidRPr="008420D0">
        <w:rPr>
          <w:rFonts w:ascii="Times New Roman" w:hAnsi="Times New Roman" w:cs="Times New Roman"/>
          <w:sz w:val="24"/>
          <w:szCs w:val="24"/>
          <w:u w:val="single"/>
        </w:rPr>
        <w:t xml:space="preserve"> &amp; Southern Bank</w:t>
      </w:r>
      <w:r w:rsidR="00A719E0" w:rsidRPr="008420D0">
        <w:rPr>
          <w:rFonts w:ascii="Times New Roman" w:hAnsi="Times New Roman" w:cs="Times New Roman"/>
          <w:sz w:val="24"/>
          <w:szCs w:val="24"/>
        </w:rPr>
        <w:t>,</w:t>
      </w:r>
      <w:r w:rsidR="00A719E0" w:rsidRPr="008420D0">
        <w:rPr>
          <w:rStyle w:val="FootnoteReference"/>
          <w:rFonts w:ascii="Times New Roman" w:hAnsi="Times New Roman" w:cs="Times New Roman"/>
          <w:sz w:val="24"/>
          <w:szCs w:val="24"/>
        </w:rPr>
        <w:footnoteReference w:id="92"/>
      </w:r>
      <w:r w:rsidR="00A719E0" w:rsidRPr="008420D0">
        <w:rPr>
          <w:rFonts w:ascii="Times New Roman" w:hAnsi="Times New Roman" w:cs="Times New Roman"/>
          <w:sz w:val="24"/>
          <w:szCs w:val="24"/>
        </w:rPr>
        <w:t xml:space="preserve"> Appalachian Community Bank</w:t>
      </w:r>
      <w:r w:rsidR="007F6004" w:rsidRPr="008420D0">
        <w:rPr>
          <w:rFonts w:ascii="Times New Roman" w:hAnsi="Times New Roman" w:cs="Times New Roman"/>
          <w:sz w:val="24"/>
          <w:szCs w:val="24"/>
        </w:rPr>
        <w:t xml:space="preserve"> (“Appalachian”)</w:t>
      </w:r>
      <w:r w:rsidR="00A719E0" w:rsidRPr="008420D0">
        <w:rPr>
          <w:rFonts w:ascii="Times New Roman" w:hAnsi="Times New Roman" w:cs="Times New Roman"/>
          <w:sz w:val="24"/>
          <w:szCs w:val="24"/>
        </w:rPr>
        <w:t xml:space="preserve"> sued borrower and guarantor on note and guaranty.  </w:t>
      </w:r>
      <w:r w:rsidR="007F6004" w:rsidRPr="008420D0">
        <w:rPr>
          <w:rFonts w:ascii="Times New Roman" w:hAnsi="Times New Roman" w:cs="Times New Roman"/>
          <w:sz w:val="24"/>
          <w:szCs w:val="24"/>
        </w:rPr>
        <w:t xml:space="preserve">Appalachian </w:t>
      </w:r>
      <w:r w:rsidR="00A719E0" w:rsidRPr="008420D0">
        <w:rPr>
          <w:rFonts w:ascii="Times New Roman" w:hAnsi="Times New Roman" w:cs="Times New Roman"/>
          <w:sz w:val="24"/>
          <w:szCs w:val="24"/>
        </w:rPr>
        <w:t>failed and C</w:t>
      </w:r>
      <w:r w:rsidR="007F6004" w:rsidRPr="008420D0">
        <w:rPr>
          <w:rFonts w:ascii="Times New Roman" w:hAnsi="Times New Roman" w:cs="Times New Roman"/>
          <w:sz w:val="24"/>
          <w:szCs w:val="24"/>
        </w:rPr>
        <w:t xml:space="preserve">ommunity &amp; Southern (“C&amp;S”) </w:t>
      </w:r>
      <w:r w:rsidR="00A719E0" w:rsidRPr="008420D0">
        <w:rPr>
          <w:rFonts w:ascii="Times New Roman" w:hAnsi="Times New Roman" w:cs="Times New Roman"/>
          <w:sz w:val="24"/>
          <w:szCs w:val="24"/>
        </w:rPr>
        <w:t xml:space="preserve">substituted as party.  C&amp;S then foreclosed on collateral and filed separate confirmation action (both borrower and guarantor were parties to the confirmation action).  </w:t>
      </w:r>
      <w:r w:rsidR="007C2AE3" w:rsidRPr="008420D0">
        <w:rPr>
          <w:rFonts w:ascii="Times New Roman" w:hAnsi="Times New Roman" w:cs="Times New Roman"/>
          <w:sz w:val="24"/>
          <w:szCs w:val="24"/>
        </w:rPr>
        <w:t>The t</w:t>
      </w:r>
      <w:r w:rsidR="00A719E0" w:rsidRPr="008420D0">
        <w:rPr>
          <w:rFonts w:ascii="Times New Roman" w:hAnsi="Times New Roman" w:cs="Times New Roman"/>
          <w:sz w:val="24"/>
          <w:szCs w:val="24"/>
        </w:rPr>
        <w:t xml:space="preserve">rial court confirmed </w:t>
      </w:r>
      <w:r w:rsidR="007C2AE3" w:rsidRPr="008420D0">
        <w:rPr>
          <w:rFonts w:ascii="Times New Roman" w:hAnsi="Times New Roman" w:cs="Times New Roman"/>
          <w:sz w:val="24"/>
          <w:szCs w:val="24"/>
        </w:rPr>
        <w:t xml:space="preserve">the </w:t>
      </w:r>
      <w:r w:rsidR="00A719E0" w:rsidRPr="008420D0">
        <w:rPr>
          <w:rFonts w:ascii="Times New Roman" w:hAnsi="Times New Roman" w:cs="Times New Roman"/>
          <w:sz w:val="24"/>
          <w:szCs w:val="24"/>
        </w:rPr>
        <w:t xml:space="preserve">foreclosure sale and </w:t>
      </w:r>
      <w:r w:rsidR="007C2AE3" w:rsidRPr="008420D0">
        <w:rPr>
          <w:rFonts w:ascii="Times New Roman" w:hAnsi="Times New Roman" w:cs="Times New Roman"/>
          <w:sz w:val="24"/>
          <w:szCs w:val="24"/>
        </w:rPr>
        <w:t xml:space="preserve">the </w:t>
      </w:r>
      <w:r w:rsidR="00A719E0" w:rsidRPr="008420D0">
        <w:rPr>
          <w:rFonts w:ascii="Times New Roman" w:hAnsi="Times New Roman" w:cs="Times New Roman"/>
          <w:sz w:val="24"/>
          <w:szCs w:val="24"/>
        </w:rPr>
        <w:t xml:space="preserve">borrower appealed.  In the </w:t>
      </w:r>
      <w:r w:rsidR="007C2AE3" w:rsidRPr="008420D0">
        <w:rPr>
          <w:rFonts w:ascii="Times New Roman" w:hAnsi="Times New Roman" w:cs="Times New Roman"/>
          <w:sz w:val="24"/>
          <w:szCs w:val="24"/>
        </w:rPr>
        <w:t xml:space="preserve">interim, </w:t>
      </w:r>
      <w:r w:rsidR="00A719E0" w:rsidRPr="008420D0">
        <w:rPr>
          <w:rFonts w:ascii="Times New Roman" w:hAnsi="Times New Roman" w:cs="Times New Roman"/>
          <w:sz w:val="24"/>
          <w:szCs w:val="24"/>
        </w:rPr>
        <w:t xml:space="preserve">C&amp;S moved for and was granted </w:t>
      </w:r>
      <w:r w:rsidR="00A719E0" w:rsidRPr="008420D0">
        <w:rPr>
          <w:rFonts w:ascii="Times New Roman" w:hAnsi="Times New Roman" w:cs="Times New Roman"/>
          <w:sz w:val="24"/>
          <w:szCs w:val="24"/>
        </w:rPr>
        <w:lastRenderedPageBreak/>
        <w:t>summary judgment against borrower and guarantor</w:t>
      </w:r>
      <w:r w:rsidR="0013069B" w:rsidRPr="008420D0">
        <w:rPr>
          <w:rFonts w:ascii="Times New Roman" w:hAnsi="Times New Roman" w:cs="Times New Roman"/>
          <w:sz w:val="24"/>
          <w:szCs w:val="24"/>
        </w:rPr>
        <w:t xml:space="preserve"> on the note suit</w:t>
      </w:r>
      <w:r w:rsidR="00A719E0" w:rsidRPr="008420D0">
        <w:rPr>
          <w:rFonts w:ascii="Times New Roman" w:hAnsi="Times New Roman" w:cs="Times New Roman"/>
          <w:sz w:val="24"/>
          <w:szCs w:val="24"/>
        </w:rPr>
        <w:t>.  Then Court of Appeals reversed confirmation of foreclosure sale.</w:t>
      </w:r>
      <w:r w:rsidR="0013069B" w:rsidRPr="008420D0">
        <w:rPr>
          <w:rFonts w:ascii="Times New Roman" w:hAnsi="Times New Roman" w:cs="Times New Roman"/>
          <w:sz w:val="24"/>
          <w:szCs w:val="24"/>
        </w:rPr>
        <w:t xml:space="preserve">  </w:t>
      </w:r>
      <w:r w:rsidR="00764300" w:rsidRPr="008420D0">
        <w:rPr>
          <w:rFonts w:ascii="Times New Roman" w:hAnsi="Times New Roman" w:cs="Times New Roman"/>
          <w:sz w:val="24"/>
          <w:szCs w:val="24"/>
        </w:rPr>
        <w:t>Although never argued or briefed by either party, t</w:t>
      </w:r>
      <w:r w:rsidR="0013069B" w:rsidRPr="008420D0">
        <w:rPr>
          <w:rFonts w:ascii="Times New Roman" w:hAnsi="Times New Roman" w:cs="Times New Roman"/>
          <w:sz w:val="24"/>
          <w:szCs w:val="24"/>
        </w:rPr>
        <w:t xml:space="preserve">he </w:t>
      </w:r>
      <w:r w:rsidR="00A719E0" w:rsidRPr="008420D0">
        <w:rPr>
          <w:rFonts w:ascii="Times New Roman" w:hAnsi="Times New Roman" w:cs="Times New Roman"/>
          <w:sz w:val="24"/>
          <w:szCs w:val="24"/>
        </w:rPr>
        <w:t xml:space="preserve">Court of Appeals concluded that while C&amp;S could not maintain a deficiency judgment against borrower (because confirmation of foreclosure sale was reversed), </w:t>
      </w:r>
      <w:r w:rsidR="00A719E0" w:rsidRPr="008420D0">
        <w:rPr>
          <w:rFonts w:ascii="Times New Roman" w:hAnsi="Times New Roman" w:cs="Times New Roman"/>
          <w:sz w:val="24"/>
          <w:szCs w:val="24"/>
          <w:u w:val="single"/>
        </w:rPr>
        <w:t>it could maintain deficiency judgment against guarantor</w:t>
      </w:r>
      <w:r w:rsidR="00A719E0" w:rsidRPr="008420D0">
        <w:rPr>
          <w:rFonts w:ascii="Times New Roman" w:hAnsi="Times New Roman" w:cs="Times New Roman"/>
          <w:sz w:val="24"/>
          <w:szCs w:val="24"/>
        </w:rPr>
        <w:t xml:space="preserve"> because guaranty was unconditional a</w:t>
      </w:r>
      <w:r w:rsidR="00DE28A0" w:rsidRPr="008420D0">
        <w:rPr>
          <w:rFonts w:ascii="Times New Roman" w:hAnsi="Times New Roman" w:cs="Times New Roman"/>
          <w:sz w:val="24"/>
          <w:szCs w:val="24"/>
        </w:rPr>
        <w:t>nd waived guarantor’s defenses.</w:t>
      </w:r>
      <w:r w:rsidR="00DE28A0" w:rsidRPr="008420D0">
        <w:rPr>
          <w:rStyle w:val="FootnoteReference"/>
          <w:rFonts w:ascii="Times New Roman" w:hAnsi="Times New Roman" w:cs="Times New Roman"/>
          <w:sz w:val="24"/>
          <w:szCs w:val="24"/>
        </w:rPr>
        <w:footnoteReference w:id="93"/>
      </w:r>
      <w:r w:rsidR="00A719E0" w:rsidRPr="008420D0">
        <w:rPr>
          <w:rFonts w:ascii="Times New Roman" w:hAnsi="Times New Roman" w:cs="Times New Roman"/>
          <w:sz w:val="24"/>
          <w:szCs w:val="24"/>
        </w:rPr>
        <w:t xml:space="preserve"> </w:t>
      </w:r>
    </w:p>
    <w:p w:rsidR="00A719E0" w:rsidRPr="008420D0" w:rsidRDefault="00A719E0" w:rsidP="00C93B1D">
      <w:pPr>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 xml:space="preserve">In this case, </w:t>
      </w:r>
      <w:r w:rsidR="00C93B1D" w:rsidRPr="008420D0">
        <w:rPr>
          <w:rFonts w:ascii="Times New Roman" w:hAnsi="Times New Roman" w:cs="Times New Roman"/>
          <w:sz w:val="24"/>
          <w:szCs w:val="24"/>
        </w:rPr>
        <w:t xml:space="preserve">the </w:t>
      </w:r>
      <w:r w:rsidRPr="008420D0">
        <w:rPr>
          <w:rFonts w:ascii="Times New Roman" w:hAnsi="Times New Roman" w:cs="Times New Roman"/>
          <w:sz w:val="24"/>
          <w:szCs w:val="24"/>
        </w:rPr>
        <w:t>guaranty s</w:t>
      </w:r>
      <w:r w:rsidR="00C93B1D" w:rsidRPr="008420D0">
        <w:rPr>
          <w:rFonts w:ascii="Times New Roman" w:hAnsi="Times New Roman" w:cs="Times New Roman"/>
          <w:sz w:val="24"/>
          <w:szCs w:val="24"/>
        </w:rPr>
        <w:t xml:space="preserve">tated </w:t>
      </w:r>
      <w:r w:rsidRPr="008420D0">
        <w:rPr>
          <w:rFonts w:ascii="Times New Roman" w:hAnsi="Times New Roman" w:cs="Times New Roman"/>
          <w:sz w:val="24"/>
          <w:szCs w:val="24"/>
        </w:rPr>
        <w:t>that:</w:t>
      </w:r>
    </w:p>
    <w:p w:rsidR="00A719E0" w:rsidRPr="008420D0" w:rsidRDefault="00A719E0" w:rsidP="00C93B1D">
      <w:pPr>
        <w:pStyle w:val="ListParagraph"/>
        <w:numPr>
          <w:ilvl w:val="0"/>
          <w:numId w:val="26"/>
        </w:numPr>
        <w:ind w:left="1440" w:hanging="720"/>
        <w:contextualSpacing w:val="0"/>
        <w:rPr>
          <w:rFonts w:ascii="Times New Roman" w:hAnsi="Times New Roman"/>
        </w:rPr>
      </w:pPr>
      <w:r w:rsidRPr="008420D0">
        <w:rPr>
          <w:rFonts w:ascii="Times New Roman" w:hAnsi="Times New Roman"/>
        </w:rPr>
        <w:t xml:space="preserve">Nothing needed to occur to establish the guarantor’s liability </w:t>
      </w:r>
    </w:p>
    <w:p w:rsidR="00A94813" w:rsidRPr="008420D0" w:rsidRDefault="00A94813" w:rsidP="00C93B1D">
      <w:pPr>
        <w:pStyle w:val="ListParagraph"/>
        <w:ind w:left="1440" w:hanging="720"/>
        <w:contextualSpacing w:val="0"/>
        <w:rPr>
          <w:rFonts w:ascii="Times New Roman" w:hAnsi="Times New Roman"/>
        </w:rPr>
      </w:pPr>
    </w:p>
    <w:p w:rsidR="00A719E0" w:rsidRPr="008420D0" w:rsidRDefault="00A719E0" w:rsidP="00C93B1D">
      <w:pPr>
        <w:pStyle w:val="ListParagraph"/>
        <w:numPr>
          <w:ilvl w:val="0"/>
          <w:numId w:val="26"/>
        </w:numPr>
        <w:ind w:left="1440" w:hanging="720"/>
        <w:contextualSpacing w:val="0"/>
        <w:rPr>
          <w:rFonts w:ascii="Times New Roman" w:hAnsi="Times New Roman"/>
        </w:rPr>
      </w:pPr>
      <w:r w:rsidRPr="008420D0">
        <w:rPr>
          <w:rFonts w:ascii="Times New Roman" w:hAnsi="Times New Roman"/>
        </w:rPr>
        <w:t>Guaranty was for unlimited amount</w:t>
      </w:r>
    </w:p>
    <w:p w:rsidR="00A94813" w:rsidRPr="008420D0" w:rsidRDefault="00A94813" w:rsidP="00C93B1D">
      <w:pPr>
        <w:pStyle w:val="ListParagraph"/>
        <w:ind w:left="1440" w:hanging="720"/>
        <w:contextualSpacing w:val="0"/>
        <w:rPr>
          <w:rFonts w:ascii="Times New Roman" w:hAnsi="Times New Roman"/>
        </w:rPr>
      </w:pPr>
    </w:p>
    <w:p w:rsidR="00A719E0" w:rsidRPr="008420D0" w:rsidRDefault="00A719E0" w:rsidP="00C93B1D">
      <w:pPr>
        <w:pStyle w:val="ListParagraph"/>
        <w:numPr>
          <w:ilvl w:val="0"/>
          <w:numId w:val="26"/>
        </w:numPr>
        <w:ind w:left="1440" w:hanging="720"/>
        <w:contextualSpacing w:val="0"/>
        <w:rPr>
          <w:rFonts w:ascii="Times New Roman" w:hAnsi="Times New Roman"/>
        </w:rPr>
      </w:pPr>
      <w:r w:rsidRPr="008420D0">
        <w:rPr>
          <w:rFonts w:ascii="Times New Roman" w:hAnsi="Times New Roman"/>
        </w:rPr>
        <w:t>Liability of guarantor was not affected by lender’s acceptance of collateral in partial satisfaction of indebtedness</w:t>
      </w:r>
    </w:p>
    <w:p w:rsidR="00A94813" w:rsidRPr="008420D0" w:rsidRDefault="00A94813" w:rsidP="00C93B1D">
      <w:pPr>
        <w:pStyle w:val="ListParagraph"/>
        <w:ind w:left="1440" w:hanging="720"/>
        <w:contextualSpacing w:val="0"/>
        <w:rPr>
          <w:rFonts w:ascii="Times New Roman" w:hAnsi="Times New Roman"/>
        </w:rPr>
      </w:pPr>
    </w:p>
    <w:p w:rsidR="00A719E0" w:rsidRPr="008420D0" w:rsidRDefault="00A719E0" w:rsidP="00C93B1D">
      <w:pPr>
        <w:pStyle w:val="ListParagraph"/>
        <w:numPr>
          <w:ilvl w:val="0"/>
          <w:numId w:val="26"/>
        </w:numPr>
        <w:spacing w:after="240"/>
        <w:ind w:left="1440" w:hanging="720"/>
        <w:contextualSpacing w:val="0"/>
        <w:rPr>
          <w:rFonts w:ascii="Times New Roman" w:hAnsi="Times New Roman"/>
        </w:rPr>
      </w:pPr>
      <w:r w:rsidRPr="008420D0">
        <w:rPr>
          <w:rFonts w:ascii="Times New Roman" w:hAnsi="Times New Roman"/>
        </w:rPr>
        <w:t>Guarantor waived all defenses</w:t>
      </w:r>
    </w:p>
    <w:p w:rsidR="00A719E0" w:rsidRPr="008420D0" w:rsidRDefault="00A719E0" w:rsidP="00703BD6">
      <w:pPr>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Based on the language of the g</w:t>
      </w:r>
      <w:r w:rsidR="00A94813" w:rsidRPr="008420D0">
        <w:rPr>
          <w:rFonts w:ascii="Times New Roman" w:hAnsi="Times New Roman" w:cs="Times New Roman"/>
          <w:sz w:val="24"/>
          <w:szCs w:val="24"/>
        </w:rPr>
        <w:t xml:space="preserve">uaranty, </w:t>
      </w:r>
      <w:r w:rsidR="00703BD6" w:rsidRPr="008420D0">
        <w:rPr>
          <w:rFonts w:ascii="Times New Roman" w:hAnsi="Times New Roman" w:cs="Times New Roman"/>
          <w:sz w:val="24"/>
          <w:szCs w:val="24"/>
        </w:rPr>
        <w:t xml:space="preserve">the </w:t>
      </w:r>
      <w:r w:rsidR="00A94813" w:rsidRPr="008420D0">
        <w:rPr>
          <w:rFonts w:ascii="Times New Roman" w:hAnsi="Times New Roman" w:cs="Times New Roman"/>
          <w:sz w:val="24"/>
          <w:szCs w:val="24"/>
        </w:rPr>
        <w:t>Court of Appeals held that (i) G</w:t>
      </w:r>
      <w:r w:rsidRPr="008420D0">
        <w:rPr>
          <w:rFonts w:ascii="Times New Roman" w:hAnsi="Times New Roman" w:cs="Times New Roman"/>
          <w:sz w:val="24"/>
          <w:szCs w:val="24"/>
        </w:rPr>
        <w:t>uarantor waived all defenses as to liability</w:t>
      </w:r>
      <w:r w:rsidR="00A94813" w:rsidRPr="008420D0">
        <w:rPr>
          <w:rFonts w:ascii="Times New Roman" w:hAnsi="Times New Roman" w:cs="Times New Roman"/>
          <w:sz w:val="24"/>
          <w:szCs w:val="24"/>
        </w:rPr>
        <w:t xml:space="preserve">; (ii) </w:t>
      </w:r>
      <w:r w:rsidRPr="008420D0">
        <w:rPr>
          <w:rFonts w:ascii="Times New Roman" w:hAnsi="Times New Roman" w:cs="Times New Roman"/>
          <w:sz w:val="24"/>
          <w:szCs w:val="24"/>
        </w:rPr>
        <w:t>Guarantor consented to lender collecting collateral and applying it to amount due on note</w:t>
      </w:r>
      <w:r w:rsidR="00A94813" w:rsidRPr="008420D0">
        <w:rPr>
          <w:rFonts w:ascii="Times New Roman" w:hAnsi="Times New Roman" w:cs="Times New Roman"/>
          <w:sz w:val="24"/>
          <w:szCs w:val="24"/>
        </w:rPr>
        <w:t xml:space="preserve">; and (iii) </w:t>
      </w:r>
      <w:r w:rsidRPr="008420D0">
        <w:rPr>
          <w:rFonts w:ascii="Times New Roman" w:hAnsi="Times New Roman" w:cs="Times New Roman"/>
          <w:sz w:val="24"/>
          <w:szCs w:val="24"/>
        </w:rPr>
        <w:t>Guarantor was liable for deficiency after application of foreclosure proceeds whether or not borrower’s liability was discharged</w:t>
      </w:r>
      <w:r w:rsidR="00A94813" w:rsidRPr="008420D0">
        <w:rPr>
          <w:rFonts w:ascii="Times New Roman" w:hAnsi="Times New Roman" w:cs="Times New Roman"/>
          <w:sz w:val="24"/>
          <w:szCs w:val="24"/>
        </w:rPr>
        <w:t>.</w:t>
      </w:r>
      <w:r w:rsidR="00E95550" w:rsidRPr="008420D0">
        <w:rPr>
          <w:rStyle w:val="FootnoteReference"/>
          <w:rFonts w:ascii="Times New Roman" w:hAnsi="Times New Roman" w:cs="Times New Roman"/>
          <w:sz w:val="24"/>
          <w:szCs w:val="24"/>
        </w:rPr>
        <w:footnoteReference w:id="94"/>
      </w:r>
      <w:r w:rsidR="00A94813" w:rsidRPr="008420D0">
        <w:rPr>
          <w:rFonts w:ascii="Times New Roman" w:hAnsi="Times New Roman" w:cs="Times New Roman"/>
          <w:sz w:val="24"/>
          <w:szCs w:val="24"/>
        </w:rPr>
        <w:t xml:space="preserve">  </w:t>
      </w:r>
      <w:r w:rsidRPr="008420D0">
        <w:rPr>
          <w:rFonts w:ascii="Times New Roman" w:hAnsi="Times New Roman" w:cs="Times New Roman"/>
          <w:sz w:val="24"/>
          <w:szCs w:val="24"/>
        </w:rPr>
        <w:t xml:space="preserve">Based on the language of the guaranty, Court held that Bank’s failure to obtain confirmation of the foreclosure sale does not impair is ability to collect against the guarantor under the guaranty for the deficiency – </w:t>
      </w:r>
      <w:r w:rsidR="00772DCC" w:rsidRPr="008420D0">
        <w:rPr>
          <w:rFonts w:ascii="Times New Roman" w:hAnsi="Times New Roman" w:cs="Times New Roman"/>
          <w:sz w:val="24"/>
          <w:szCs w:val="24"/>
        </w:rPr>
        <w:t xml:space="preserve">it </w:t>
      </w:r>
      <w:r w:rsidRPr="008420D0">
        <w:rPr>
          <w:rFonts w:ascii="Times New Roman" w:hAnsi="Times New Roman" w:cs="Times New Roman"/>
          <w:sz w:val="24"/>
          <w:szCs w:val="24"/>
        </w:rPr>
        <w:t>only keeps the Bank from being able to obtain a deficiency judgment against borrower.</w:t>
      </w:r>
      <w:r w:rsidR="00F04833" w:rsidRPr="008420D0">
        <w:rPr>
          <w:rStyle w:val="FootnoteReference"/>
          <w:rFonts w:ascii="Times New Roman" w:hAnsi="Times New Roman" w:cs="Times New Roman"/>
          <w:sz w:val="24"/>
          <w:szCs w:val="24"/>
        </w:rPr>
        <w:footnoteReference w:id="95"/>
      </w:r>
      <w:r w:rsidR="00772DCC" w:rsidRPr="008420D0">
        <w:rPr>
          <w:rFonts w:ascii="Times New Roman" w:hAnsi="Times New Roman" w:cs="Times New Roman"/>
          <w:sz w:val="24"/>
          <w:szCs w:val="24"/>
        </w:rPr>
        <w:t xml:space="preserve"> </w:t>
      </w:r>
    </w:p>
    <w:p w:rsidR="00772DCC" w:rsidRDefault="00772DCC" w:rsidP="00772DCC">
      <w:pPr>
        <w:spacing w:after="0" w:line="480" w:lineRule="auto"/>
        <w:ind w:firstLine="720"/>
        <w:rPr>
          <w:rFonts w:ascii="Times New Roman" w:hAnsi="Times New Roman" w:cs="Times New Roman"/>
          <w:sz w:val="24"/>
          <w:szCs w:val="24"/>
        </w:rPr>
      </w:pPr>
      <w:r w:rsidRPr="008420D0">
        <w:rPr>
          <w:rFonts w:ascii="Times New Roman" w:hAnsi="Times New Roman" w:cs="Times New Roman"/>
          <w:sz w:val="24"/>
          <w:szCs w:val="24"/>
        </w:rPr>
        <w:t xml:space="preserve">A specific analysis of the </w:t>
      </w:r>
      <w:r w:rsidRPr="008420D0">
        <w:rPr>
          <w:rFonts w:ascii="Times New Roman" w:hAnsi="Times New Roman" w:cs="Times New Roman"/>
          <w:sz w:val="24"/>
          <w:szCs w:val="24"/>
          <w:u w:val="single"/>
        </w:rPr>
        <w:t>HWA</w:t>
      </w:r>
      <w:r w:rsidR="00A93685" w:rsidRPr="008420D0">
        <w:rPr>
          <w:rFonts w:ascii="Times New Roman" w:hAnsi="Times New Roman" w:cs="Times New Roman"/>
          <w:sz w:val="24"/>
          <w:szCs w:val="24"/>
        </w:rPr>
        <w:t xml:space="preserve"> guaranty</w:t>
      </w:r>
      <w:r w:rsidRPr="008420D0">
        <w:rPr>
          <w:rFonts w:ascii="Times New Roman" w:hAnsi="Times New Roman" w:cs="Times New Roman"/>
          <w:sz w:val="24"/>
          <w:szCs w:val="24"/>
        </w:rPr>
        <w:t xml:space="preserve"> language follows:</w:t>
      </w:r>
    </w:p>
    <w:p w:rsidR="00796472" w:rsidRPr="008420D0" w:rsidRDefault="00796472" w:rsidP="00772DCC">
      <w:pPr>
        <w:spacing w:after="0" w:line="48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24"/>
        <w:gridCol w:w="5304"/>
        <w:gridCol w:w="2430"/>
      </w:tblGrid>
      <w:tr w:rsidR="007C2AE3" w:rsidRPr="008420D0" w:rsidTr="005D70F7">
        <w:tc>
          <w:tcPr>
            <w:tcW w:w="1824" w:type="dxa"/>
          </w:tcPr>
          <w:p w:rsidR="00355C33" w:rsidRPr="008420D0" w:rsidRDefault="00355C33" w:rsidP="005D70F7">
            <w:pPr>
              <w:rPr>
                <w:rFonts w:ascii="Times New Roman" w:hAnsi="Times New Roman" w:cs="Times New Roman"/>
                <w:sz w:val="24"/>
                <w:szCs w:val="24"/>
              </w:rPr>
            </w:pPr>
          </w:p>
        </w:tc>
        <w:tc>
          <w:tcPr>
            <w:tcW w:w="5304" w:type="dxa"/>
          </w:tcPr>
          <w:p w:rsidR="00355C33" w:rsidRPr="008420D0" w:rsidRDefault="00355C33" w:rsidP="005D70F7">
            <w:pPr>
              <w:rPr>
                <w:rFonts w:ascii="Times New Roman" w:hAnsi="Times New Roman" w:cs="Times New Roman"/>
                <w:b/>
                <w:sz w:val="24"/>
                <w:szCs w:val="24"/>
              </w:rPr>
            </w:pPr>
            <w:r w:rsidRPr="008420D0">
              <w:rPr>
                <w:rFonts w:ascii="Times New Roman" w:hAnsi="Times New Roman" w:cs="Times New Roman"/>
                <w:b/>
                <w:sz w:val="24"/>
                <w:szCs w:val="24"/>
              </w:rPr>
              <w:t>HWA Language</w:t>
            </w:r>
          </w:p>
        </w:tc>
        <w:tc>
          <w:tcPr>
            <w:tcW w:w="2430" w:type="dxa"/>
          </w:tcPr>
          <w:p w:rsidR="00355C33" w:rsidRPr="008420D0" w:rsidRDefault="00355C33" w:rsidP="005D70F7">
            <w:pPr>
              <w:rPr>
                <w:rFonts w:ascii="Times New Roman" w:hAnsi="Times New Roman" w:cs="Times New Roman"/>
                <w:b/>
                <w:sz w:val="24"/>
                <w:szCs w:val="24"/>
              </w:rPr>
            </w:pPr>
            <w:r w:rsidRPr="008420D0">
              <w:rPr>
                <w:rFonts w:ascii="Times New Roman" w:hAnsi="Times New Roman" w:cs="Times New Roman"/>
                <w:b/>
                <w:sz w:val="24"/>
                <w:szCs w:val="24"/>
              </w:rPr>
              <w:t>Notes</w:t>
            </w:r>
          </w:p>
        </w:tc>
      </w:tr>
      <w:tr w:rsidR="007C2AE3" w:rsidRPr="008420D0" w:rsidTr="005D70F7">
        <w:tc>
          <w:tcPr>
            <w:tcW w:w="1824" w:type="dxa"/>
          </w:tcPr>
          <w:p w:rsidR="00355C33" w:rsidRPr="008420D0" w:rsidRDefault="00355C33" w:rsidP="005D70F7">
            <w:pPr>
              <w:rPr>
                <w:rFonts w:ascii="Times New Roman" w:hAnsi="Times New Roman" w:cs="Times New Roman"/>
                <w:sz w:val="24"/>
                <w:szCs w:val="24"/>
              </w:rPr>
            </w:pPr>
            <w:r w:rsidRPr="008420D0">
              <w:rPr>
                <w:rFonts w:ascii="Times New Roman" w:hAnsi="Times New Roman" w:cs="Times New Roman"/>
                <w:sz w:val="24"/>
                <w:szCs w:val="24"/>
              </w:rPr>
              <w:t>1.  Express and comprehensive waiver of any and all defenses to guarantor’s liability on the entire balance due on the note</w:t>
            </w:r>
          </w:p>
        </w:tc>
        <w:tc>
          <w:tcPr>
            <w:tcW w:w="5304" w:type="dxa"/>
          </w:tcPr>
          <w:p w:rsidR="00355C33" w:rsidRPr="008420D0" w:rsidRDefault="00355C33" w:rsidP="005D70F7">
            <w:pPr>
              <w:rPr>
                <w:rFonts w:ascii="Times New Roman" w:hAnsi="Times New Roman" w:cs="Times New Roman"/>
                <w:sz w:val="24"/>
                <w:szCs w:val="24"/>
              </w:rPr>
            </w:pPr>
            <w:r w:rsidRPr="008420D0">
              <w:rPr>
                <w:rFonts w:ascii="Times New Roman" w:hAnsi="Times New Roman" w:cs="Times New Roman"/>
                <w:sz w:val="24"/>
                <w:szCs w:val="24"/>
              </w:rPr>
              <w:t>“[Guarantor] waives any and all defenses, claims and discharges of Borrower, or any other obligor, pertaining to Indebtedness, except the defense of discharge by payment in full.  Without limiting the generality of the foregoing, [Guarantor] will not assert, plead or enforce against Lender any defense of waiver, release, statute of limitations, res judicata, statute of frauds, fraud, incapacity, minority, usury, illegality, or unenforceability which may be available to Borrower or any other person liable in respect of any Indebtedness, or any setoff available against Lender to Borrower or any such other person, whether or not on account of a related transaction.  [Guarantor] expressly agrees that he shall be and remain liable, to the fullest extent permitted by applicable law, for any deficiency remaining after foreclosure of any mortgage or security interest securing Indebtedness, whether or not the liability of the Borrower or any other obligor for such deficiency is discharged pursuant to statute or judicial decision.  [Guarantor] shall remain obligated, to the fullest extent permitted by law, to pay such amounts as though the Borrower’s obligations had not been discharged.”</w:t>
            </w:r>
          </w:p>
        </w:tc>
        <w:tc>
          <w:tcPr>
            <w:tcW w:w="2430" w:type="dxa"/>
          </w:tcPr>
          <w:p w:rsidR="00355C33" w:rsidRPr="008420D0" w:rsidRDefault="00355C33" w:rsidP="005D70F7">
            <w:pPr>
              <w:rPr>
                <w:rFonts w:ascii="Times New Roman" w:hAnsi="Times New Roman" w:cs="Times New Roman"/>
                <w:sz w:val="24"/>
                <w:szCs w:val="24"/>
              </w:rPr>
            </w:pPr>
            <w:r w:rsidRPr="008420D0">
              <w:rPr>
                <w:rFonts w:ascii="Times New Roman" w:hAnsi="Times New Roman" w:cs="Times New Roman"/>
                <w:sz w:val="24"/>
                <w:szCs w:val="24"/>
              </w:rPr>
              <w:t xml:space="preserve">“A guarantor may consent in advance to a course of conduct which would otherwise result in his discharge, and this includes the waiver or defenses otherwise available to a guarantor”  </w:t>
            </w:r>
            <w:r w:rsidRPr="008420D0">
              <w:rPr>
                <w:rFonts w:ascii="Times New Roman" w:hAnsi="Times New Roman" w:cs="Times New Roman"/>
                <w:sz w:val="24"/>
                <w:szCs w:val="24"/>
                <w:u w:val="single"/>
              </w:rPr>
              <w:t>Baby Days v. Bank of Adairsville</w:t>
            </w:r>
            <w:r w:rsidRPr="008420D0">
              <w:rPr>
                <w:rFonts w:ascii="Times New Roman" w:hAnsi="Times New Roman" w:cs="Times New Roman"/>
                <w:sz w:val="24"/>
                <w:szCs w:val="24"/>
              </w:rPr>
              <w:t>, 218 Ga. App. 752, 755 (1995).</w:t>
            </w:r>
          </w:p>
        </w:tc>
      </w:tr>
      <w:tr w:rsidR="007C2AE3" w:rsidRPr="008420D0" w:rsidTr="005D70F7">
        <w:tc>
          <w:tcPr>
            <w:tcW w:w="1824" w:type="dxa"/>
          </w:tcPr>
          <w:p w:rsidR="00355C33" w:rsidRPr="008420D0" w:rsidRDefault="00355C33" w:rsidP="005D70F7">
            <w:pPr>
              <w:rPr>
                <w:rFonts w:ascii="Times New Roman" w:hAnsi="Times New Roman" w:cs="Times New Roman"/>
                <w:sz w:val="24"/>
                <w:szCs w:val="24"/>
              </w:rPr>
            </w:pPr>
            <w:r w:rsidRPr="008420D0">
              <w:rPr>
                <w:rFonts w:ascii="Times New Roman" w:hAnsi="Times New Roman" w:cs="Times New Roman"/>
                <w:sz w:val="24"/>
                <w:szCs w:val="24"/>
              </w:rPr>
              <w:t>2.  Guarantor consents for the lender to collect on other collateral and to apply the proceeds to the amount due on the note and that such application shall not reduce, affect or impair guarantor’s liability</w:t>
            </w:r>
          </w:p>
        </w:tc>
        <w:tc>
          <w:tcPr>
            <w:tcW w:w="5304" w:type="dxa"/>
          </w:tcPr>
          <w:p w:rsidR="00355C33" w:rsidRPr="008420D0" w:rsidRDefault="00355C33" w:rsidP="005D70F7">
            <w:pPr>
              <w:rPr>
                <w:rFonts w:ascii="Times New Roman" w:hAnsi="Times New Roman" w:cs="Times New Roman"/>
                <w:sz w:val="24"/>
                <w:szCs w:val="24"/>
              </w:rPr>
            </w:pPr>
            <w:r w:rsidRPr="008420D0">
              <w:rPr>
                <w:rFonts w:ascii="Times New Roman" w:hAnsi="Times New Roman" w:cs="Times New Roman"/>
                <w:sz w:val="24"/>
                <w:szCs w:val="24"/>
              </w:rPr>
              <w:t>“The Lender may apply any sums received by or available to Lender on account of the Indebtedness from Borrower or any other person (except [Guarantor]), from their properties, out of any collateral security or from any other source to payment of the excess.  Such application of receipts shall not reduce, affect of impair the liability of [the Guarantor]”</w:t>
            </w:r>
          </w:p>
          <w:p w:rsidR="00355C33" w:rsidRPr="008420D0" w:rsidRDefault="00355C33" w:rsidP="005D70F7">
            <w:pPr>
              <w:rPr>
                <w:rFonts w:ascii="Times New Roman" w:hAnsi="Times New Roman" w:cs="Times New Roman"/>
                <w:sz w:val="24"/>
                <w:szCs w:val="24"/>
              </w:rPr>
            </w:pPr>
          </w:p>
          <w:p w:rsidR="00355C33" w:rsidRPr="008420D0" w:rsidRDefault="00355C33" w:rsidP="005D70F7">
            <w:pPr>
              <w:rPr>
                <w:rFonts w:ascii="Times New Roman" w:hAnsi="Times New Roman" w:cs="Times New Roman"/>
                <w:sz w:val="24"/>
                <w:szCs w:val="24"/>
              </w:rPr>
            </w:pPr>
            <w:r w:rsidRPr="008420D0">
              <w:rPr>
                <w:rFonts w:ascii="Times New Roman" w:hAnsi="Times New Roman" w:cs="Times New Roman"/>
                <w:sz w:val="24"/>
                <w:szCs w:val="24"/>
              </w:rPr>
              <w:t>“The liability of [Guarantor] shall not be affected or impaired by any of the following acts or things (which Lender is expressly authorized to do, omit or suffer from time to time, both before and after revocation of this guaranty, without notice or approval by [the Guarantor]:  (i) any acceptance of collateral security, guarantors, accommodation parties or sureties for any and all indebtedness  . . .”</w:t>
            </w:r>
          </w:p>
          <w:p w:rsidR="00355C33" w:rsidRDefault="00355C33" w:rsidP="005D70F7">
            <w:pPr>
              <w:rPr>
                <w:rFonts w:ascii="Times New Roman" w:hAnsi="Times New Roman" w:cs="Times New Roman"/>
                <w:sz w:val="24"/>
                <w:szCs w:val="24"/>
              </w:rPr>
            </w:pPr>
          </w:p>
          <w:p w:rsidR="00796472" w:rsidRDefault="00796472" w:rsidP="005D70F7">
            <w:pPr>
              <w:rPr>
                <w:rFonts w:ascii="Times New Roman" w:hAnsi="Times New Roman" w:cs="Times New Roman"/>
                <w:sz w:val="24"/>
                <w:szCs w:val="24"/>
              </w:rPr>
            </w:pPr>
          </w:p>
          <w:p w:rsidR="00796472" w:rsidRPr="008420D0" w:rsidRDefault="00796472" w:rsidP="005D70F7">
            <w:pPr>
              <w:rPr>
                <w:rFonts w:ascii="Times New Roman" w:hAnsi="Times New Roman" w:cs="Times New Roman"/>
                <w:sz w:val="24"/>
                <w:szCs w:val="24"/>
              </w:rPr>
            </w:pPr>
          </w:p>
          <w:p w:rsidR="00355C33" w:rsidRPr="008420D0" w:rsidRDefault="00355C33" w:rsidP="005D70F7">
            <w:pPr>
              <w:rPr>
                <w:rFonts w:ascii="Times New Roman" w:hAnsi="Times New Roman" w:cs="Times New Roman"/>
                <w:sz w:val="24"/>
                <w:szCs w:val="24"/>
              </w:rPr>
            </w:pPr>
          </w:p>
        </w:tc>
        <w:tc>
          <w:tcPr>
            <w:tcW w:w="2430" w:type="dxa"/>
          </w:tcPr>
          <w:p w:rsidR="00355C33" w:rsidRPr="008420D0" w:rsidRDefault="00355C33" w:rsidP="005D70F7">
            <w:pPr>
              <w:rPr>
                <w:rFonts w:ascii="Times New Roman" w:hAnsi="Times New Roman" w:cs="Times New Roman"/>
                <w:sz w:val="24"/>
                <w:szCs w:val="24"/>
              </w:rPr>
            </w:pPr>
            <w:r w:rsidRPr="008420D0">
              <w:rPr>
                <w:rFonts w:ascii="Times New Roman" w:hAnsi="Times New Roman" w:cs="Times New Roman"/>
                <w:sz w:val="24"/>
                <w:szCs w:val="24"/>
              </w:rPr>
              <w:t>Even absent the broad waiver clause in (1) above, guarantor gives consent for lender to collect on other collateral and apply to amounts due, not reducing guarantor’s liability.</w:t>
            </w:r>
          </w:p>
        </w:tc>
      </w:tr>
      <w:tr w:rsidR="007C2AE3" w:rsidRPr="008420D0" w:rsidTr="005D70F7">
        <w:tc>
          <w:tcPr>
            <w:tcW w:w="1824" w:type="dxa"/>
          </w:tcPr>
          <w:p w:rsidR="00355C33" w:rsidRPr="008420D0" w:rsidRDefault="00355C33" w:rsidP="005D70F7">
            <w:pPr>
              <w:rPr>
                <w:rFonts w:ascii="Times New Roman" w:hAnsi="Times New Roman" w:cs="Times New Roman"/>
                <w:sz w:val="24"/>
                <w:szCs w:val="24"/>
              </w:rPr>
            </w:pPr>
            <w:r w:rsidRPr="008420D0">
              <w:rPr>
                <w:rFonts w:ascii="Times New Roman" w:hAnsi="Times New Roman" w:cs="Times New Roman"/>
                <w:sz w:val="24"/>
                <w:szCs w:val="24"/>
              </w:rPr>
              <w:lastRenderedPageBreak/>
              <w:t>3.  Guarantor shall remain liable for any deficiency remaining after the foreclosure of any property securing the note whether or not the liability of borrower or other obligor is discharged</w:t>
            </w:r>
          </w:p>
        </w:tc>
        <w:tc>
          <w:tcPr>
            <w:tcW w:w="5304" w:type="dxa"/>
          </w:tcPr>
          <w:p w:rsidR="00355C33" w:rsidRPr="008420D0" w:rsidRDefault="00355C33" w:rsidP="005D70F7">
            <w:pPr>
              <w:rPr>
                <w:rFonts w:ascii="Times New Roman" w:hAnsi="Times New Roman" w:cs="Times New Roman"/>
                <w:sz w:val="24"/>
                <w:szCs w:val="24"/>
              </w:rPr>
            </w:pPr>
            <w:r w:rsidRPr="008420D0">
              <w:rPr>
                <w:rFonts w:ascii="Times New Roman" w:hAnsi="Times New Roman" w:cs="Times New Roman"/>
                <w:sz w:val="24"/>
                <w:szCs w:val="24"/>
              </w:rPr>
              <w:t>“[Guarantor] expressly agrees that he shall be and remain liable, to the fullest extent permitted by applicable law, for any deficiency remaining after foreclosure of any mortgage or security interest securing Indebtedness, whether or not the liability of the Borrower or any other obligor for such deficiency is discharged pursuant to statute or judicial decision.  [Guarantor] shall remain obligated, to the fullest extent permitted by law, to pay such amounts as though the Borrower’s obligations had not been discharged.”</w:t>
            </w:r>
          </w:p>
          <w:p w:rsidR="00355C33" w:rsidRPr="008420D0" w:rsidRDefault="00355C33" w:rsidP="005D70F7">
            <w:pPr>
              <w:rPr>
                <w:rFonts w:ascii="Times New Roman" w:hAnsi="Times New Roman" w:cs="Times New Roman"/>
                <w:sz w:val="24"/>
                <w:szCs w:val="24"/>
              </w:rPr>
            </w:pPr>
          </w:p>
          <w:p w:rsidR="00355C33" w:rsidRPr="008420D0" w:rsidRDefault="00355C33" w:rsidP="005D70F7">
            <w:pPr>
              <w:rPr>
                <w:rFonts w:ascii="Times New Roman" w:hAnsi="Times New Roman" w:cs="Times New Roman"/>
                <w:sz w:val="24"/>
                <w:szCs w:val="24"/>
              </w:rPr>
            </w:pPr>
            <w:r w:rsidRPr="008420D0">
              <w:rPr>
                <w:rFonts w:ascii="Times New Roman" w:hAnsi="Times New Roman" w:cs="Times New Roman"/>
                <w:sz w:val="24"/>
                <w:szCs w:val="24"/>
              </w:rPr>
              <w:t>“The liability of [Guarantor] shall not be affected or impaired by any of the following acts or things (which Lender is expressly authorized to do, omit or suffer from time to time, both before and after revocation of this guaranty, without notice or approval by [the Guarantor]:  (i) any acceptance of collateral security, guarantors, accommodation parties or sureties for any and all indebtedness  . . . (iii) any waiver, adjustment, forbearance, compromise or indulgence granted to Borrower, any delay or lack of diligence in enforcement of Indebtedness; (iv) any full or partial release of, settlement with, or agreement not to sue, Borrower or any other guarantor or other person liable in respect of any Indebtedness; (v) any discharge of any evidence of Indebtedness or the acceptance of any instrument in renewal thereof or substitution therefor; (vi) any failure to obtain collateral security (including rights of setoff) for Indebtedness, or to see to the proper or sufficient creation and perfection thereof, or to establish the priority thereof, or to protect, insure, or enforce any collateral security; (vii) any foreclosure or enforcement of any collateral security . . .”</w:t>
            </w:r>
          </w:p>
          <w:p w:rsidR="00355C33" w:rsidRPr="008420D0" w:rsidRDefault="00355C33" w:rsidP="005D70F7">
            <w:pPr>
              <w:rPr>
                <w:rFonts w:ascii="Times New Roman" w:hAnsi="Times New Roman" w:cs="Times New Roman"/>
                <w:sz w:val="24"/>
                <w:szCs w:val="24"/>
              </w:rPr>
            </w:pPr>
          </w:p>
          <w:p w:rsidR="00355C33" w:rsidRPr="008420D0" w:rsidRDefault="00355C33" w:rsidP="005D70F7">
            <w:pPr>
              <w:rPr>
                <w:rFonts w:ascii="Times New Roman" w:hAnsi="Times New Roman" w:cs="Times New Roman"/>
                <w:sz w:val="24"/>
                <w:szCs w:val="24"/>
              </w:rPr>
            </w:pPr>
            <w:r w:rsidRPr="008420D0">
              <w:rPr>
                <w:rFonts w:ascii="Times New Roman" w:hAnsi="Times New Roman" w:cs="Times New Roman"/>
                <w:sz w:val="24"/>
                <w:szCs w:val="24"/>
              </w:rPr>
              <w:t>No act of thing need occur to establish the liability of [the guarantor], and no act or thing, except full payment and discharge of all indebtedness, shall in any way exonerate [the guarantor] or modify, reduce, limit or release the liability of [the guarantor]</w:t>
            </w:r>
          </w:p>
          <w:p w:rsidR="00355C33" w:rsidRPr="008420D0" w:rsidRDefault="00355C33" w:rsidP="005D70F7">
            <w:pPr>
              <w:rPr>
                <w:rFonts w:ascii="Times New Roman" w:hAnsi="Times New Roman" w:cs="Times New Roman"/>
                <w:sz w:val="24"/>
                <w:szCs w:val="24"/>
              </w:rPr>
            </w:pPr>
          </w:p>
        </w:tc>
        <w:tc>
          <w:tcPr>
            <w:tcW w:w="2430" w:type="dxa"/>
          </w:tcPr>
          <w:p w:rsidR="00355C33" w:rsidRPr="008420D0" w:rsidRDefault="00355C33" w:rsidP="005D70F7">
            <w:pPr>
              <w:rPr>
                <w:rFonts w:ascii="Times New Roman" w:hAnsi="Times New Roman" w:cs="Times New Roman"/>
                <w:sz w:val="24"/>
                <w:szCs w:val="24"/>
              </w:rPr>
            </w:pPr>
          </w:p>
        </w:tc>
      </w:tr>
      <w:tr w:rsidR="007C2AE3" w:rsidRPr="008420D0" w:rsidTr="005D70F7">
        <w:tc>
          <w:tcPr>
            <w:tcW w:w="1824" w:type="dxa"/>
          </w:tcPr>
          <w:p w:rsidR="00355C33" w:rsidRPr="008420D0" w:rsidRDefault="00355C33" w:rsidP="005D70F7">
            <w:pPr>
              <w:rPr>
                <w:rFonts w:ascii="Times New Roman" w:hAnsi="Times New Roman" w:cs="Times New Roman"/>
                <w:sz w:val="24"/>
                <w:szCs w:val="24"/>
              </w:rPr>
            </w:pPr>
            <w:r w:rsidRPr="008420D0">
              <w:rPr>
                <w:rFonts w:ascii="Times New Roman" w:hAnsi="Times New Roman" w:cs="Times New Roman"/>
                <w:sz w:val="24"/>
                <w:szCs w:val="24"/>
              </w:rPr>
              <w:t xml:space="preserve">4.  Other “relevant </w:t>
            </w:r>
            <w:r w:rsidRPr="008420D0">
              <w:rPr>
                <w:rFonts w:ascii="Times New Roman" w:hAnsi="Times New Roman" w:cs="Times New Roman"/>
                <w:sz w:val="24"/>
                <w:szCs w:val="24"/>
              </w:rPr>
              <w:lastRenderedPageBreak/>
              <w:t>guaranty provisions”  (See HWA, n. 14)</w:t>
            </w:r>
          </w:p>
        </w:tc>
        <w:tc>
          <w:tcPr>
            <w:tcW w:w="5304" w:type="dxa"/>
          </w:tcPr>
          <w:p w:rsidR="00355C33" w:rsidRPr="008420D0" w:rsidRDefault="00355C33" w:rsidP="005D70F7">
            <w:pPr>
              <w:rPr>
                <w:rFonts w:ascii="Times New Roman" w:hAnsi="Times New Roman" w:cs="Times New Roman"/>
                <w:sz w:val="24"/>
                <w:szCs w:val="24"/>
              </w:rPr>
            </w:pPr>
            <w:r w:rsidRPr="008420D0">
              <w:rPr>
                <w:rFonts w:ascii="Times New Roman" w:hAnsi="Times New Roman" w:cs="Times New Roman"/>
                <w:sz w:val="24"/>
                <w:szCs w:val="24"/>
              </w:rPr>
              <w:lastRenderedPageBreak/>
              <w:t xml:space="preserve">“9.  If any payment applied by Lender to Indebtedness is thereafter set aside, recovered, </w:t>
            </w:r>
            <w:r w:rsidRPr="008420D0">
              <w:rPr>
                <w:rFonts w:ascii="Times New Roman" w:hAnsi="Times New Roman" w:cs="Times New Roman"/>
                <w:sz w:val="24"/>
                <w:szCs w:val="24"/>
              </w:rPr>
              <w:lastRenderedPageBreak/>
              <w:t>rescinded or required to be returned for any reason . . ., the Indebtedness to which such payment was applied shall for the purpose of this guaranty be deemed to have continued in existence, notwithstanding such application, and this guaranty shall be enforceable as to such indebtedness as fully as if such application had never been made.</w:t>
            </w:r>
          </w:p>
          <w:p w:rsidR="00355C33" w:rsidRPr="008420D0" w:rsidRDefault="00355C33" w:rsidP="005D70F7">
            <w:pPr>
              <w:rPr>
                <w:rFonts w:ascii="Times New Roman" w:hAnsi="Times New Roman" w:cs="Times New Roman"/>
                <w:sz w:val="24"/>
                <w:szCs w:val="24"/>
              </w:rPr>
            </w:pPr>
          </w:p>
          <w:p w:rsidR="00355C33" w:rsidRPr="008420D0" w:rsidRDefault="00355C33" w:rsidP="005D70F7">
            <w:pPr>
              <w:rPr>
                <w:rFonts w:ascii="Times New Roman" w:hAnsi="Times New Roman" w:cs="Times New Roman"/>
                <w:sz w:val="24"/>
                <w:szCs w:val="24"/>
              </w:rPr>
            </w:pPr>
          </w:p>
          <w:p w:rsidR="00355C33" w:rsidRPr="008420D0" w:rsidRDefault="00355C33" w:rsidP="005D70F7">
            <w:pPr>
              <w:rPr>
                <w:rFonts w:ascii="Times New Roman" w:hAnsi="Times New Roman" w:cs="Times New Roman"/>
                <w:sz w:val="24"/>
                <w:szCs w:val="24"/>
              </w:rPr>
            </w:pPr>
            <w:r w:rsidRPr="008420D0">
              <w:rPr>
                <w:rFonts w:ascii="Times New Roman" w:hAnsi="Times New Roman" w:cs="Times New Roman"/>
                <w:sz w:val="24"/>
                <w:szCs w:val="24"/>
              </w:rPr>
              <w:t>10.  [Guarantor] waives any claim, remedy or other right which [he] may now have or hereafter acquire against Borrower or any other person obligated to pay Indebtedness arising out of the creation or performance of [his] obligation under this guaranty, including, without limitation, any right of subrogation, contribution, reimbursement, indemnification, exoneration, and any right to participate in any claim or remedy [he] may have against the Borrower, collateral, or other party obligated for Borrower’s debts, whether or not such claim, remedy or right arises in equity, or under contract, statute or common law.”</w:t>
            </w:r>
          </w:p>
        </w:tc>
        <w:tc>
          <w:tcPr>
            <w:tcW w:w="2430" w:type="dxa"/>
          </w:tcPr>
          <w:p w:rsidR="00355C33" w:rsidRPr="008420D0" w:rsidRDefault="00355C33" w:rsidP="005D70F7">
            <w:pPr>
              <w:rPr>
                <w:rFonts w:ascii="Times New Roman" w:hAnsi="Times New Roman" w:cs="Times New Roman"/>
                <w:sz w:val="24"/>
                <w:szCs w:val="24"/>
              </w:rPr>
            </w:pPr>
            <w:r w:rsidRPr="008420D0">
              <w:rPr>
                <w:rFonts w:ascii="Times New Roman" w:hAnsi="Times New Roman" w:cs="Times New Roman"/>
                <w:sz w:val="24"/>
                <w:szCs w:val="24"/>
              </w:rPr>
              <w:lastRenderedPageBreak/>
              <w:t xml:space="preserve">Court does not say that either of these 2 </w:t>
            </w:r>
            <w:r w:rsidRPr="008420D0">
              <w:rPr>
                <w:rFonts w:ascii="Times New Roman" w:hAnsi="Times New Roman" w:cs="Times New Roman"/>
                <w:sz w:val="24"/>
                <w:szCs w:val="24"/>
              </w:rPr>
              <w:lastRenderedPageBreak/>
              <w:t>provisions are dispositive of guarantor’s obligations for decision</w:t>
            </w:r>
          </w:p>
        </w:tc>
      </w:tr>
    </w:tbl>
    <w:p w:rsidR="00703BD6" w:rsidRPr="008420D0" w:rsidRDefault="00703BD6" w:rsidP="00703BD6">
      <w:pPr>
        <w:spacing w:line="480" w:lineRule="auto"/>
        <w:ind w:firstLine="720"/>
        <w:jc w:val="both"/>
        <w:rPr>
          <w:rFonts w:ascii="Times New Roman" w:hAnsi="Times New Roman" w:cs="Times New Roman"/>
          <w:sz w:val="24"/>
          <w:szCs w:val="24"/>
        </w:rPr>
      </w:pPr>
    </w:p>
    <w:p w:rsidR="00B80501" w:rsidRPr="008420D0" w:rsidRDefault="006F1B64" w:rsidP="00B80501">
      <w:pPr>
        <w:spacing w:after="0"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t xml:space="preserve">By summarily changing Georgia’s foreclosure law on the necessity to confirm sales before suing guarantors on a deficiency remaining after the sale, </w:t>
      </w:r>
      <w:r w:rsidR="00A93685" w:rsidRPr="008420D0">
        <w:rPr>
          <w:rFonts w:ascii="Times New Roman" w:hAnsi="Times New Roman" w:cs="Times New Roman"/>
          <w:sz w:val="24"/>
          <w:szCs w:val="24"/>
        </w:rPr>
        <w:t xml:space="preserve">even though neither party had addressed the question in their papers, </w:t>
      </w:r>
      <w:r w:rsidRPr="008420D0">
        <w:rPr>
          <w:rFonts w:ascii="Times New Roman" w:hAnsi="Times New Roman" w:cs="Times New Roman"/>
          <w:sz w:val="24"/>
          <w:szCs w:val="24"/>
        </w:rPr>
        <w:t xml:space="preserve">the Georgia Court of Appeals opened up a Pandora’s Box of new lawsuits.  Banks began suing guarantors in cases where confirmation previously had been </w:t>
      </w:r>
      <w:r w:rsidRPr="008420D0">
        <w:rPr>
          <w:rFonts w:ascii="Times New Roman" w:hAnsi="Times New Roman" w:cs="Times New Roman"/>
          <w:i/>
          <w:sz w:val="24"/>
          <w:szCs w:val="24"/>
        </w:rPr>
        <w:t>denied</w:t>
      </w:r>
      <w:r w:rsidRPr="008420D0">
        <w:rPr>
          <w:rFonts w:ascii="Times New Roman" w:hAnsi="Times New Roman" w:cs="Times New Roman"/>
          <w:sz w:val="24"/>
          <w:szCs w:val="24"/>
        </w:rPr>
        <w:t xml:space="preserve">.  </w:t>
      </w:r>
      <w:r w:rsidRPr="008420D0">
        <w:rPr>
          <w:rFonts w:ascii="Times New Roman" w:hAnsi="Times New Roman" w:cs="Times New Roman"/>
          <w:sz w:val="24"/>
          <w:szCs w:val="24"/>
          <w:u w:val="single"/>
        </w:rPr>
        <w:t>HWA</w:t>
      </w:r>
      <w:r w:rsidRPr="008420D0">
        <w:rPr>
          <w:rFonts w:ascii="Times New Roman" w:hAnsi="Times New Roman" w:cs="Times New Roman"/>
          <w:sz w:val="24"/>
          <w:szCs w:val="24"/>
        </w:rPr>
        <w:t xml:space="preserve"> also represented a new era of negotiating </w:t>
      </w:r>
      <w:r w:rsidR="00EF17EF" w:rsidRPr="008420D0">
        <w:rPr>
          <w:rFonts w:ascii="Times New Roman" w:hAnsi="Times New Roman" w:cs="Times New Roman"/>
          <w:sz w:val="24"/>
          <w:szCs w:val="24"/>
        </w:rPr>
        <w:t xml:space="preserve">between guarantors and creditors as creditors who had signed guaranties with </w:t>
      </w:r>
      <w:r w:rsidR="00EF17EF" w:rsidRPr="008420D0">
        <w:rPr>
          <w:rFonts w:ascii="Times New Roman" w:hAnsi="Times New Roman" w:cs="Times New Roman"/>
          <w:sz w:val="24"/>
          <w:szCs w:val="24"/>
          <w:u w:val="single"/>
        </w:rPr>
        <w:t>HWA</w:t>
      </w:r>
      <w:r w:rsidR="00EF17EF" w:rsidRPr="008420D0">
        <w:rPr>
          <w:rFonts w:ascii="Times New Roman" w:hAnsi="Times New Roman" w:cs="Times New Roman"/>
          <w:sz w:val="24"/>
          <w:szCs w:val="24"/>
        </w:rPr>
        <w:t>-type language could no longer count on the confirmation process as their first line of defense to potential liability.</w:t>
      </w:r>
      <w:r w:rsidR="00717264" w:rsidRPr="008420D0">
        <w:rPr>
          <w:rFonts w:ascii="Times New Roman" w:hAnsi="Times New Roman" w:cs="Times New Roman"/>
          <w:sz w:val="24"/>
          <w:szCs w:val="24"/>
        </w:rPr>
        <w:t xml:space="preserve">  Subsequent cases, such as </w:t>
      </w:r>
      <w:r w:rsidR="00764300" w:rsidRPr="008420D0">
        <w:rPr>
          <w:rFonts w:ascii="Times New Roman" w:hAnsi="Times New Roman" w:cs="Times New Roman"/>
          <w:sz w:val="24"/>
          <w:szCs w:val="24"/>
          <w:u w:val="single"/>
        </w:rPr>
        <w:t>Community &amp; Southern Bank v. DCB Investments</w:t>
      </w:r>
      <w:r w:rsidR="00764300" w:rsidRPr="008420D0">
        <w:rPr>
          <w:rFonts w:ascii="Times New Roman" w:hAnsi="Times New Roman" w:cs="Times New Roman"/>
          <w:sz w:val="24"/>
          <w:szCs w:val="24"/>
        </w:rPr>
        <w:t>, LLC</w:t>
      </w:r>
      <w:r w:rsidR="00A93685" w:rsidRPr="008420D0">
        <w:rPr>
          <w:rFonts w:ascii="Times New Roman" w:hAnsi="Times New Roman" w:cs="Times New Roman"/>
          <w:sz w:val="24"/>
          <w:szCs w:val="24"/>
        </w:rPr>
        <w:t>,</w:t>
      </w:r>
      <w:r w:rsidR="00764300" w:rsidRPr="008420D0">
        <w:rPr>
          <w:rFonts w:ascii="Times New Roman" w:hAnsi="Times New Roman" w:cs="Times New Roman"/>
          <w:sz w:val="24"/>
          <w:szCs w:val="24"/>
        </w:rPr>
        <w:t xml:space="preserve"> </w:t>
      </w:r>
      <w:r w:rsidR="00717264" w:rsidRPr="008420D0">
        <w:rPr>
          <w:rFonts w:ascii="Times New Roman" w:hAnsi="Times New Roman" w:cs="Times New Roman"/>
          <w:color w:val="252525"/>
          <w:sz w:val="24"/>
          <w:szCs w:val="24"/>
        </w:rPr>
        <w:t>328 Ga.App. 605</w:t>
      </w:r>
      <w:r w:rsidR="00764300" w:rsidRPr="008420D0">
        <w:rPr>
          <w:rFonts w:ascii="Times New Roman" w:hAnsi="Times New Roman" w:cs="Times New Roman"/>
          <w:color w:val="252525"/>
          <w:sz w:val="24"/>
          <w:szCs w:val="24"/>
        </w:rPr>
        <w:t xml:space="preserve"> (2014)</w:t>
      </w:r>
      <w:r w:rsidR="00B80501" w:rsidRPr="008420D0">
        <w:rPr>
          <w:rFonts w:ascii="Times New Roman" w:hAnsi="Times New Roman" w:cs="Times New Roman"/>
          <w:color w:val="252525"/>
          <w:sz w:val="24"/>
          <w:szCs w:val="24"/>
        </w:rPr>
        <w:t xml:space="preserve"> and </w:t>
      </w:r>
      <w:r w:rsidR="009C252B" w:rsidRPr="008420D0">
        <w:rPr>
          <w:rFonts w:ascii="Times New Roman" w:hAnsi="Times New Roman" w:cs="Times New Roman"/>
          <w:sz w:val="24"/>
          <w:szCs w:val="24"/>
          <w:u w:val="single"/>
        </w:rPr>
        <w:t>Roberts v. Community &amp; Southern Bank</w:t>
      </w:r>
      <w:r w:rsidR="009C252B" w:rsidRPr="008420D0">
        <w:rPr>
          <w:rFonts w:ascii="Times New Roman" w:hAnsi="Times New Roman" w:cs="Times New Roman"/>
          <w:sz w:val="24"/>
          <w:szCs w:val="24"/>
        </w:rPr>
        <w:t>, 331 Ga. App. 364 (2015)</w:t>
      </w:r>
      <w:r w:rsidR="00B80501" w:rsidRPr="008420D0">
        <w:rPr>
          <w:rFonts w:ascii="Times New Roman" w:hAnsi="Times New Roman" w:cs="Times New Roman"/>
          <w:sz w:val="24"/>
          <w:szCs w:val="24"/>
        </w:rPr>
        <w:t xml:space="preserve">, have continued the </w:t>
      </w:r>
      <w:r w:rsidR="00124D73" w:rsidRPr="008420D0">
        <w:rPr>
          <w:rFonts w:ascii="Times New Roman" w:hAnsi="Times New Roman" w:cs="Times New Roman"/>
          <w:sz w:val="24"/>
          <w:szCs w:val="24"/>
        </w:rPr>
        <w:t xml:space="preserve">precedent of </w:t>
      </w:r>
      <w:r w:rsidR="00B80501" w:rsidRPr="008420D0">
        <w:rPr>
          <w:rFonts w:ascii="Times New Roman" w:hAnsi="Times New Roman" w:cs="Times New Roman"/>
          <w:sz w:val="24"/>
          <w:szCs w:val="24"/>
        </w:rPr>
        <w:t>no-confirmation guarantor liability.  However, help may be on the way for guarantors.</w:t>
      </w:r>
    </w:p>
    <w:p w:rsidR="00EF17EF" w:rsidRPr="008420D0" w:rsidRDefault="00B80501" w:rsidP="00D72871">
      <w:pPr>
        <w:spacing w:line="480" w:lineRule="auto"/>
        <w:ind w:firstLine="720"/>
        <w:jc w:val="both"/>
        <w:rPr>
          <w:rFonts w:ascii="Times New Roman" w:hAnsi="Times New Roman" w:cs="Times New Roman"/>
          <w:sz w:val="24"/>
          <w:szCs w:val="24"/>
        </w:rPr>
      </w:pPr>
      <w:r w:rsidRPr="008420D0">
        <w:rPr>
          <w:rFonts w:ascii="Times New Roman" w:hAnsi="Times New Roman" w:cs="Times New Roman"/>
          <w:sz w:val="24"/>
          <w:szCs w:val="24"/>
        </w:rPr>
        <w:lastRenderedPageBreak/>
        <w:t>Although</w:t>
      </w:r>
      <w:r w:rsidR="00D72871" w:rsidRPr="008420D0">
        <w:rPr>
          <w:rFonts w:ascii="Times New Roman" w:hAnsi="Times New Roman" w:cs="Times New Roman"/>
          <w:sz w:val="24"/>
          <w:szCs w:val="24"/>
        </w:rPr>
        <w:t xml:space="preserve"> the Georgia Supreme Court has not granted </w:t>
      </w:r>
      <w:r w:rsidR="00D72871" w:rsidRPr="008420D0">
        <w:rPr>
          <w:rFonts w:ascii="Times New Roman" w:hAnsi="Times New Roman" w:cs="Times New Roman"/>
          <w:i/>
          <w:sz w:val="24"/>
          <w:szCs w:val="24"/>
        </w:rPr>
        <w:t>cert</w:t>
      </w:r>
      <w:r w:rsidR="00DE28A0" w:rsidRPr="008420D0">
        <w:rPr>
          <w:rFonts w:ascii="Times New Roman" w:hAnsi="Times New Roman" w:cs="Times New Roman"/>
          <w:sz w:val="24"/>
          <w:szCs w:val="24"/>
        </w:rPr>
        <w:t>.</w:t>
      </w:r>
      <w:r w:rsidR="00D72871" w:rsidRPr="008420D0">
        <w:rPr>
          <w:rFonts w:ascii="Times New Roman" w:hAnsi="Times New Roman" w:cs="Times New Roman"/>
          <w:sz w:val="24"/>
          <w:szCs w:val="24"/>
        </w:rPr>
        <w:t xml:space="preserve"> on </w:t>
      </w:r>
      <w:r w:rsidR="00D72871" w:rsidRPr="008420D0">
        <w:rPr>
          <w:rFonts w:ascii="Times New Roman" w:hAnsi="Times New Roman" w:cs="Times New Roman"/>
          <w:sz w:val="24"/>
          <w:szCs w:val="24"/>
          <w:u w:val="single"/>
        </w:rPr>
        <w:t xml:space="preserve">HWA </w:t>
      </w:r>
      <w:r w:rsidR="00D72871" w:rsidRPr="008420D0">
        <w:rPr>
          <w:rFonts w:ascii="Times New Roman" w:hAnsi="Times New Roman" w:cs="Times New Roman"/>
          <w:sz w:val="24"/>
          <w:szCs w:val="24"/>
        </w:rPr>
        <w:t xml:space="preserve">or any of the Court of Appeals’ subsequent related decisions, in </w:t>
      </w:r>
      <w:r w:rsidRPr="008420D0">
        <w:rPr>
          <w:rFonts w:ascii="Times New Roman" w:hAnsi="Times New Roman" w:cs="Times New Roman"/>
          <w:sz w:val="24"/>
          <w:szCs w:val="24"/>
          <w:u w:val="single"/>
        </w:rPr>
        <w:t>PNC Bank, N.A. v. Smith</w:t>
      </w:r>
      <w:r w:rsidRPr="008420D0">
        <w:rPr>
          <w:rFonts w:ascii="Times New Roman" w:hAnsi="Times New Roman" w:cs="Times New Roman"/>
          <w:sz w:val="24"/>
          <w:szCs w:val="24"/>
        </w:rPr>
        <w:t xml:space="preserve">, Supreme Court of Georgia docket number S15Q1445, </w:t>
      </w:r>
      <w:r w:rsidR="00D72871" w:rsidRPr="008420D0">
        <w:rPr>
          <w:rFonts w:ascii="Times New Roman" w:hAnsi="Times New Roman" w:cs="Times New Roman"/>
          <w:sz w:val="24"/>
          <w:szCs w:val="24"/>
        </w:rPr>
        <w:t xml:space="preserve">the Court received a certified question from the U.S. District Court for the Northern District of Georgia regarding enforceability of guaranties after PNC failed to confirm a foreclosure sale prior to seeking a deficiency judgment from the guarantors.  The federal court certified the question after finding that the state of Georgia law regarding the confirmation statute and guaranties </w:t>
      </w:r>
      <w:r w:rsidR="00DE28A0" w:rsidRPr="008420D0">
        <w:rPr>
          <w:rFonts w:ascii="Times New Roman" w:hAnsi="Times New Roman" w:cs="Times New Roman"/>
          <w:sz w:val="24"/>
          <w:szCs w:val="24"/>
        </w:rPr>
        <w:t>was unclear.  As expected, the B</w:t>
      </w:r>
      <w:r w:rsidR="00D72871" w:rsidRPr="008420D0">
        <w:rPr>
          <w:rFonts w:ascii="Times New Roman" w:hAnsi="Times New Roman" w:cs="Times New Roman"/>
          <w:sz w:val="24"/>
          <w:szCs w:val="24"/>
        </w:rPr>
        <w:t xml:space="preserve">ank has argued that a guaranty’s terms can waive the confirmation statute just as they can many other statutory rights.  The guarantors have disputed the propriety of </w:t>
      </w:r>
      <w:r w:rsidR="00D72871" w:rsidRPr="008420D0">
        <w:rPr>
          <w:rFonts w:ascii="Times New Roman" w:hAnsi="Times New Roman" w:cs="Times New Roman"/>
          <w:sz w:val="24"/>
          <w:szCs w:val="24"/>
          <w:u w:val="single"/>
        </w:rPr>
        <w:t>HWA</w:t>
      </w:r>
      <w:r w:rsidR="00D72871" w:rsidRPr="008420D0">
        <w:rPr>
          <w:rFonts w:ascii="Times New Roman" w:hAnsi="Times New Roman" w:cs="Times New Roman"/>
          <w:sz w:val="24"/>
          <w:szCs w:val="24"/>
        </w:rPr>
        <w:t xml:space="preserve"> itself and its successors, arguing that a waiver of the confirmation statute is not permissible under Georgia law so that the bank was bound by the statute’s mandate.  The Court heard argument on September 14, 2015.  At the time this article was completed, no decision had been issued.</w:t>
      </w:r>
    </w:p>
    <w:sectPr w:rsidR="00EF17EF" w:rsidRPr="008420D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C4" w:rsidRDefault="009F75C4" w:rsidP="00C83B50">
      <w:pPr>
        <w:spacing w:after="0" w:line="240" w:lineRule="auto"/>
      </w:pPr>
      <w:r>
        <w:separator/>
      </w:r>
    </w:p>
  </w:endnote>
  <w:endnote w:type="continuationSeparator" w:id="0">
    <w:p w:rsidR="009F75C4" w:rsidRDefault="009F75C4" w:rsidP="00C8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5C4" w:rsidRPr="00C774C0" w:rsidRDefault="009F75C4" w:rsidP="00C774C0">
    <w:pPr>
      <w:pStyle w:val="Footer"/>
    </w:pPr>
    <w:r>
      <w:tab/>
    </w:r>
    <w:sdt>
      <w:sdtPr>
        <w:rPr>
          <w:rFonts w:ascii="Times New Roman" w:hAnsi="Times New Roman" w:cs="Times New Roman"/>
        </w:rPr>
        <w:id w:val="1585100839"/>
        <w:docPartObj>
          <w:docPartGallery w:val="Page Numbers (Bottom of Page)"/>
          <w:docPartUnique/>
        </w:docPartObj>
      </w:sdtPr>
      <w:sdtEndPr>
        <w:rPr>
          <w:rFonts w:asciiTheme="minorHAnsi" w:hAnsiTheme="minorHAnsi" w:cstheme="minorBidi"/>
          <w:noProof/>
        </w:rPr>
      </w:sdtEndPr>
      <w:sdtContent>
        <w:r w:rsidRPr="001D7912">
          <w:rPr>
            <w:rFonts w:ascii="Times New Roman" w:hAnsi="Times New Roman" w:cs="Times New Roman"/>
            <w:sz w:val="24"/>
            <w:szCs w:val="24"/>
          </w:rPr>
          <w:fldChar w:fldCharType="begin"/>
        </w:r>
        <w:r w:rsidRPr="001D7912">
          <w:rPr>
            <w:rFonts w:ascii="Times New Roman" w:hAnsi="Times New Roman" w:cs="Times New Roman"/>
            <w:sz w:val="24"/>
            <w:szCs w:val="24"/>
          </w:rPr>
          <w:instrText xml:space="preserve"> PAGE   \* MERGEFORMAT </w:instrText>
        </w:r>
        <w:r w:rsidRPr="001D7912">
          <w:rPr>
            <w:rFonts w:ascii="Times New Roman" w:hAnsi="Times New Roman" w:cs="Times New Roman"/>
            <w:sz w:val="24"/>
            <w:szCs w:val="24"/>
          </w:rPr>
          <w:fldChar w:fldCharType="separate"/>
        </w:r>
        <w:r w:rsidR="00597F66">
          <w:rPr>
            <w:rFonts w:ascii="Times New Roman" w:hAnsi="Times New Roman" w:cs="Times New Roman"/>
            <w:noProof/>
            <w:sz w:val="24"/>
            <w:szCs w:val="24"/>
          </w:rPr>
          <w:t>1</w:t>
        </w:r>
        <w:r w:rsidRPr="001D7912">
          <w:rPr>
            <w:rFonts w:ascii="Times New Roman" w:hAnsi="Times New Roman" w:cs="Times New Roman"/>
            <w:noProof/>
            <w:sz w:val="24"/>
            <w:szCs w:val="24"/>
          </w:rPr>
          <w:fldChar w:fldCharType="end"/>
        </w:r>
      </w:sdtContent>
    </w:sdt>
  </w:p>
  <w:p w:rsidR="009F75C4" w:rsidRPr="00C774C0" w:rsidRDefault="009F7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C4" w:rsidRDefault="009F75C4" w:rsidP="00C83B50">
      <w:pPr>
        <w:spacing w:after="0" w:line="240" w:lineRule="auto"/>
        <w:rPr>
          <w:noProof/>
        </w:rPr>
      </w:pPr>
      <w:r>
        <w:rPr>
          <w:noProof/>
        </w:rPr>
        <w:separator/>
      </w:r>
    </w:p>
  </w:footnote>
  <w:footnote w:type="continuationSeparator" w:id="0">
    <w:p w:rsidR="009F75C4" w:rsidRDefault="009F75C4" w:rsidP="00C83B50">
      <w:pPr>
        <w:spacing w:after="0" w:line="240" w:lineRule="auto"/>
      </w:pPr>
      <w:r>
        <w:continuationSeparator/>
      </w:r>
    </w:p>
  </w:footnote>
  <w:footnote w:id="1">
    <w:p w:rsidR="008420D0" w:rsidRPr="007E0876" w:rsidRDefault="008420D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The author wishes to acknowledge the prior work of Stephanie </w:t>
      </w:r>
      <w:r w:rsidR="003E4FDF">
        <w:rPr>
          <w:rFonts w:ascii="Times New Roman" w:hAnsi="Times New Roman"/>
          <w:sz w:val="24"/>
          <w:szCs w:val="24"/>
        </w:rPr>
        <w:t xml:space="preserve">A. </w:t>
      </w:r>
      <w:r w:rsidRPr="007E0876">
        <w:rPr>
          <w:rFonts w:ascii="Times New Roman" w:hAnsi="Times New Roman"/>
          <w:sz w:val="24"/>
          <w:szCs w:val="24"/>
        </w:rPr>
        <w:t>Everett</w:t>
      </w:r>
      <w:r w:rsidR="00796472">
        <w:rPr>
          <w:rFonts w:ascii="Times New Roman" w:hAnsi="Times New Roman"/>
          <w:sz w:val="24"/>
          <w:szCs w:val="24"/>
        </w:rPr>
        <w:t xml:space="preserve">, </w:t>
      </w:r>
      <w:r w:rsidRPr="007E0876">
        <w:rPr>
          <w:rFonts w:ascii="Times New Roman" w:hAnsi="Times New Roman"/>
          <w:sz w:val="24"/>
          <w:szCs w:val="24"/>
        </w:rPr>
        <w:t>Ariel D. Zion,</w:t>
      </w:r>
      <w:r w:rsidR="00796472">
        <w:rPr>
          <w:rFonts w:ascii="Times New Roman" w:hAnsi="Times New Roman"/>
          <w:sz w:val="24"/>
          <w:szCs w:val="24"/>
        </w:rPr>
        <w:t xml:space="preserve"> Ryan </w:t>
      </w:r>
      <w:r w:rsidR="003E4FDF">
        <w:rPr>
          <w:rFonts w:ascii="Times New Roman" w:hAnsi="Times New Roman"/>
          <w:sz w:val="24"/>
          <w:szCs w:val="24"/>
        </w:rPr>
        <w:t xml:space="preserve">E. </w:t>
      </w:r>
      <w:r w:rsidR="00796472">
        <w:rPr>
          <w:rFonts w:ascii="Times New Roman" w:hAnsi="Times New Roman"/>
          <w:sz w:val="24"/>
          <w:szCs w:val="24"/>
        </w:rPr>
        <w:t xml:space="preserve">Harbin, and Troy </w:t>
      </w:r>
      <w:r w:rsidR="003E4FDF">
        <w:rPr>
          <w:rFonts w:ascii="Times New Roman" w:hAnsi="Times New Roman"/>
          <w:sz w:val="24"/>
          <w:szCs w:val="24"/>
        </w:rPr>
        <w:t xml:space="preserve">R. </w:t>
      </w:r>
      <w:r w:rsidR="00796472">
        <w:rPr>
          <w:rFonts w:ascii="Times New Roman" w:hAnsi="Times New Roman"/>
          <w:sz w:val="24"/>
          <w:szCs w:val="24"/>
        </w:rPr>
        <w:t>Covington of the Bloom Sugarman firm</w:t>
      </w:r>
      <w:r w:rsidR="003E4FDF">
        <w:rPr>
          <w:rFonts w:ascii="Times New Roman" w:hAnsi="Times New Roman"/>
          <w:sz w:val="24"/>
          <w:szCs w:val="24"/>
        </w:rPr>
        <w:t>,</w:t>
      </w:r>
      <w:r w:rsidR="00796472">
        <w:rPr>
          <w:rFonts w:ascii="Times New Roman" w:hAnsi="Times New Roman"/>
          <w:sz w:val="24"/>
          <w:szCs w:val="24"/>
        </w:rPr>
        <w:t xml:space="preserve"> </w:t>
      </w:r>
      <w:r w:rsidRPr="007E0876">
        <w:rPr>
          <w:rFonts w:ascii="Times New Roman" w:hAnsi="Times New Roman"/>
          <w:sz w:val="24"/>
          <w:szCs w:val="24"/>
        </w:rPr>
        <w:t>po</w:t>
      </w:r>
      <w:bookmarkStart w:id="0" w:name="_GoBack"/>
      <w:bookmarkEnd w:id="0"/>
      <w:r w:rsidRPr="007E0876">
        <w:rPr>
          <w:rFonts w:ascii="Times New Roman" w:hAnsi="Times New Roman"/>
          <w:sz w:val="24"/>
          <w:szCs w:val="24"/>
        </w:rPr>
        <w:t>rtions of which appear throughout and herein.</w:t>
      </w:r>
    </w:p>
  </w:footnote>
  <w:footnote w:id="2">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O.C.G.A. § 44-14-162.2, -162.3.</w:t>
      </w:r>
    </w:p>
  </w:footnote>
  <w:footnote w:id="3">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O.C.G.A. § 44-14-162.2.</w:t>
      </w:r>
    </w:p>
  </w:footnote>
  <w:footnote w:id="4">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O.C.G.A. § 44-14-162.2.</w:t>
      </w:r>
    </w:p>
  </w:footnote>
  <w:footnote w:id="5">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O.C.G.A. § 44-14-162.2.</w:t>
      </w:r>
    </w:p>
  </w:footnote>
  <w:footnote w:id="6">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O.C.G.A. § 44-14-162.3(c).</w:t>
      </w:r>
    </w:p>
  </w:footnote>
  <w:footnote w:id="7">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O.C.G.A. § 44-14-162; O.C.G.A. § 9-13-140.</w:t>
      </w:r>
    </w:p>
  </w:footnote>
  <w:footnote w:id="8">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O.C.G.A. § 9-13-140.</w:t>
      </w:r>
    </w:p>
  </w:footnote>
  <w:footnote w:id="9">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O.C.G.A. § 9-13-140.</w:t>
      </w:r>
    </w:p>
  </w:footnote>
  <w:footnote w:id="10">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O.C.G.A. § 44-14-162.</w:t>
      </w:r>
    </w:p>
  </w:footnote>
  <w:footnote w:id="11">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O.C.G.A. § 44-14-162.</w:t>
      </w:r>
    </w:p>
  </w:footnote>
  <w:footnote w:id="12">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O.C.G.A. §§ 9-13-161(a) -(b).</w:t>
      </w:r>
    </w:p>
  </w:footnote>
  <w:footnote w:id="13">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O.C.G.A. §§ 9-13-161(a); </w:t>
      </w:r>
      <w:r w:rsidRPr="007E0876">
        <w:rPr>
          <w:rFonts w:ascii="Times New Roman" w:hAnsi="Times New Roman"/>
          <w:sz w:val="24"/>
          <w:szCs w:val="24"/>
          <w:u w:val="single"/>
        </w:rPr>
        <w:t>Miller Grading Contractors, Inc. v. Ga. Fed. Sav. and Loan</w:t>
      </w:r>
      <w:r w:rsidRPr="007E0876">
        <w:rPr>
          <w:rFonts w:ascii="Times New Roman" w:hAnsi="Times New Roman"/>
          <w:sz w:val="24"/>
          <w:szCs w:val="24"/>
        </w:rPr>
        <w:t>, 247 Ga. 730 (1981).</w:t>
      </w:r>
    </w:p>
  </w:footnote>
  <w:footnote w:id="14">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O.C.G.A. §§ 9-13-161(a).</w:t>
      </w:r>
    </w:p>
  </w:footnote>
  <w:footnote w:id="15">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Giordano v. Stubbs</w:t>
      </w:r>
      <w:r w:rsidRPr="007E0876">
        <w:rPr>
          <w:rFonts w:ascii="Times New Roman" w:hAnsi="Times New Roman"/>
          <w:sz w:val="24"/>
          <w:szCs w:val="24"/>
        </w:rPr>
        <w:t>, 228 Ga. 75, 78 (1971).</w:t>
      </w:r>
    </w:p>
  </w:footnote>
  <w:footnote w:id="16">
    <w:p w:rsidR="009F75C4" w:rsidRPr="007E0876" w:rsidRDefault="009F75C4">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Tarlton v. Griffin Fed. Sav. Bank</w:t>
      </w:r>
      <w:r w:rsidRPr="007E0876">
        <w:rPr>
          <w:rFonts w:ascii="Times New Roman" w:hAnsi="Times New Roman"/>
          <w:sz w:val="24"/>
          <w:szCs w:val="24"/>
        </w:rPr>
        <w:t>, 202 Ga. App. 454 (1992).</w:t>
      </w:r>
    </w:p>
  </w:footnote>
  <w:footnote w:id="17">
    <w:p w:rsidR="009F75C4" w:rsidRPr="007E0876" w:rsidRDefault="009F75C4" w:rsidP="00C83B50">
      <w:pPr>
        <w:rPr>
          <w:rFonts w:ascii="Times New Roman" w:hAnsi="Times New Roman" w:cs="Times New Roman"/>
          <w:sz w:val="24"/>
          <w:szCs w:val="24"/>
        </w:rPr>
      </w:pPr>
      <w:r w:rsidRPr="007E0876">
        <w:rPr>
          <w:rStyle w:val="FootnoteReference"/>
          <w:rFonts w:ascii="Times New Roman" w:hAnsi="Times New Roman" w:cs="Times New Roman"/>
          <w:sz w:val="24"/>
          <w:szCs w:val="24"/>
        </w:rPr>
        <w:footnoteRef/>
      </w:r>
      <w:r w:rsidRPr="007E0876">
        <w:rPr>
          <w:rFonts w:ascii="Times New Roman" w:hAnsi="Times New Roman" w:cs="Times New Roman"/>
          <w:sz w:val="24"/>
          <w:szCs w:val="24"/>
        </w:rPr>
        <w:t xml:space="preserve"> 155 Ga. App. 327, 328-329 (1980).</w:t>
      </w:r>
    </w:p>
  </w:footnote>
  <w:footnote w:id="18">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r w:rsidRPr="007E0876">
        <w:rPr>
          <w:rFonts w:ascii="Times New Roman" w:hAnsi="Times New Roman"/>
          <w:sz w:val="24"/>
          <w:szCs w:val="24"/>
        </w:rPr>
        <w:t xml:space="preserve"> </w:t>
      </w:r>
    </w:p>
  </w:footnote>
  <w:footnote w:id="19">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r w:rsidRPr="007E0876">
        <w:rPr>
          <w:rFonts w:ascii="Times New Roman" w:hAnsi="Times New Roman"/>
          <w:sz w:val="24"/>
          <w:szCs w:val="24"/>
        </w:rPr>
        <w:t xml:space="preserve"> (citing </w:t>
      </w:r>
      <w:r w:rsidRPr="007E0876">
        <w:rPr>
          <w:rFonts w:ascii="Times New Roman" w:hAnsi="Times New Roman"/>
          <w:sz w:val="24"/>
          <w:szCs w:val="24"/>
          <w:u w:val="single"/>
        </w:rPr>
        <w:t>Giordano</w:t>
      </w:r>
      <w:r w:rsidRPr="007E0876">
        <w:rPr>
          <w:rFonts w:ascii="Times New Roman" w:hAnsi="Times New Roman"/>
          <w:sz w:val="24"/>
          <w:szCs w:val="24"/>
        </w:rPr>
        <w:t>, 228 Ga. at 79).</w:t>
      </w:r>
    </w:p>
  </w:footnote>
  <w:footnote w:id="20">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Pindar’s Georgia Real Estate Law, 2 Ga. Real Estate Law &amp; Procedure § 21-105 (6</w:t>
      </w:r>
      <w:r w:rsidRPr="007E0876">
        <w:rPr>
          <w:rFonts w:ascii="Times New Roman" w:hAnsi="Times New Roman"/>
          <w:sz w:val="24"/>
          <w:szCs w:val="24"/>
          <w:vertAlign w:val="superscript"/>
        </w:rPr>
        <w:t>th</w:t>
      </w:r>
      <w:r w:rsidRPr="007E0876">
        <w:rPr>
          <w:rFonts w:ascii="Times New Roman" w:hAnsi="Times New Roman"/>
          <w:sz w:val="24"/>
          <w:szCs w:val="24"/>
        </w:rPr>
        <w:t xml:space="preserve"> ed.).</w:t>
      </w:r>
    </w:p>
  </w:footnote>
  <w:footnote w:id="21">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241 Ga. 528 (1978).</w:t>
      </w:r>
    </w:p>
  </w:footnote>
  <w:footnote w:id="22">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Brevard Federal Savings &amp; Loan, Assoc. v. Ford Mountain Investments</w:t>
      </w:r>
      <w:r w:rsidRPr="007E0876">
        <w:rPr>
          <w:rFonts w:ascii="Times New Roman" w:hAnsi="Times New Roman"/>
          <w:sz w:val="24"/>
          <w:szCs w:val="24"/>
        </w:rPr>
        <w:t xml:space="preserve">, 261 Ga. 619 (1991)(quoting </w:t>
      </w:r>
      <w:r w:rsidRPr="007E0876">
        <w:rPr>
          <w:rFonts w:ascii="Times New Roman" w:hAnsi="Times New Roman"/>
          <w:sz w:val="24"/>
          <w:szCs w:val="24"/>
          <w:u w:val="single"/>
        </w:rPr>
        <w:t>Wright v. Intercounty Properties, Ltd.</w:t>
      </w:r>
      <w:r w:rsidRPr="007E0876">
        <w:rPr>
          <w:rFonts w:ascii="Times New Roman" w:hAnsi="Times New Roman"/>
          <w:sz w:val="24"/>
          <w:szCs w:val="24"/>
        </w:rPr>
        <w:t>, 238 Ga. 492 (1977)).</w:t>
      </w:r>
    </w:p>
  </w:footnote>
  <w:footnote w:id="23">
    <w:p w:rsidR="0041587D" w:rsidRPr="007E0876" w:rsidRDefault="0041587D">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252 Ga. 21 (1984).</w:t>
      </w:r>
    </w:p>
  </w:footnote>
  <w:footnote w:id="24">
    <w:p w:rsidR="007E0876" w:rsidRPr="007E0876" w:rsidRDefault="007E0876" w:rsidP="007E0876">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Atlanta Dwellings, Inc. v. Wright</w:t>
      </w:r>
      <w:r w:rsidR="00EB28B5">
        <w:rPr>
          <w:rFonts w:ascii="Times New Roman" w:hAnsi="Times New Roman"/>
          <w:sz w:val="24"/>
          <w:szCs w:val="24"/>
        </w:rPr>
        <w:t xml:space="preserve">, 272 Ga. 231 </w:t>
      </w:r>
      <w:r w:rsidRPr="007E0876">
        <w:rPr>
          <w:rFonts w:ascii="Times New Roman" w:hAnsi="Times New Roman"/>
          <w:sz w:val="24"/>
          <w:szCs w:val="24"/>
        </w:rPr>
        <w:t>(2000).</w:t>
      </w:r>
    </w:p>
  </w:footnote>
  <w:footnote w:id="25">
    <w:p w:rsidR="007E0876" w:rsidRPr="007E0876" w:rsidRDefault="007E0876" w:rsidP="007E0876">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Jones v. Phillips</w:t>
      </w:r>
      <w:r w:rsidRPr="007E0876">
        <w:rPr>
          <w:rFonts w:ascii="Times New Roman" w:hAnsi="Times New Roman"/>
          <w:sz w:val="24"/>
          <w:szCs w:val="24"/>
        </w:rPr>
        <w:t>, 227 Ga. App. 94 (1997).</w:t>
      </w:r>
    </w:p>
  </w:footnote>
  <w:footnote w:id="26">
    <w:p w:rsidR="009F75C4" w:rsidRPr="007E0876" w:rsidRDefault="009F75C4">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See</w:t>
      </w:r>
      <w:r w:rsidRPr="007E0876">
        <w:rPr>
          <w:rFonts w:ascii="Times New Roman" w:hAnsi="Times New Roman"/>
          <w:sz w:val="24"/>
          <w:szCs w:val="24"/>
        </w:rPr>
        <w:t xml:space="preserve"> O.C.G.A. § 44-14-161(a).</w:t>
      </w:r>
      <w:r w:rsidR="001D7912">
        <w:rPr>
          <w:rFonts w:ascii="Times New Roman" w:hAnsi="Times New Roman"/>
          <w:sz w:val="24"/>
          <w:szCs w:val="24"/>
        </w:rPr>
        <w:t xml:space="preserve">  See below for a discussion of the major exception to this rule.</w:t>
      </w:r>
    </w:p>
  </w:footnote>
  <w:footnote w:id="27">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O.C.G.A. § 44-14-161(a).</w:t>
      </w:r>
    </w:p>
  </w:footnote>
  <w:footnote w:id="28">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John Alder Life Ins. Co. v. Gwinnett Plantation, Ltd</w:t>
      </w:r>
      <w:r w:rsidRPr="007E0876">
        <w:rPr>
          <w:rFonts w:ascii="Times New Roman" w:hAnsi="Times New Roman"/>
          <w:sz w:val="24"/>
          <w:szCs w:val="24"/>
        </w:rPr>
        <w:t xml:space="preserve">. 220 Ga. App. 846, 847 (1996); </w:t>
      </w:r>
      <w:r w:rsidRPr="007E0876">
        <w:rPr>
          <w:rFonts w:ascii="Times New Roman" w:hAnsi="Times New Roman"/>
          <w:sz w:val="24"/>
          <w:szCs w:val="24"/>
          <w:u w:val="single"/>
        </w:rPr>
        <w:t>Bentley v. N. Ga. Production Credit Ass’n</w:t>
      </w:r>
      <w:r w:rsidRPr="007E0876">
        <w:rPr>
          <w:rFonts w:ascii="Times New Roman" w:hAnsi="Times New Roman"/>
          <w:sz w:val="24"/>
          <w:szCs w:val="24"/>
        </w:rPr>
        <w:t>, 170 Ga. App. 361 (1984).</w:t>
      </w:r>
    </w:p>
  </w:footnote>
  <w:footnote w:id="29">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Bentley</w:t>
      </w:r>
      <w:r w:rsidRPr="007E0876">
        <w:rPr>
          <w:rFonts w:ascii="Times New Roman" w:hAnsi="Times New Roman"/>
          <w:sz w:val="24"/>
          <w:szCs w:val="24"/>
        </w:rPr>
        <w:t xml:space="preserve">, 170 Ga. App. at 361. </w:t>
      </w:r>
    </w:p>
  </w:footnote>
  <w:footnote w:id="30">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Vlass v. Security Pacific Nat. Bank</w:t>
      </w:r>
      <w:r w:rsidRPr="007E0876">
        <w:rPr>
          <w:rFonts w:ascii="Times New Roman" w:hAnsi="Times New Roman"/>
          <w:sz w:val="24"/>
          <w:szCs w:val="24"/>
        </w:rPr>
        <w:t>, 263 Ga. 296 (1993).</w:t>
      </w:r>
    </w:p>
  </w:footnote>
  <w:footnote w:id="31">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Vlass</w:t>
      </w:r>
      <w:r w:rsidRPr="007E0876">
        <w:rPr>
          <w:rFonts w:ascii="Times New Roman" w:hAnsi="Times New Roman"/>
          <w:sz w:val="24"/>
          <w:szCs w:val="24"/>
        </w:rPr>
        <w:t xml:space="preserve">, 263 Ga. at 297; </w:t>
      </w:r>
      <w:r w:rsidRPr="007E0876">
        <w:rPr>
          <w:rFonts w:ascii="Times New Roman" w:hAnsi="Times New Roman"/>
          <w:sz w:val="24"/>
          <w:szCs w:val="24"/>
          <w:u w:val="single"/>
        </w:rPr>
        <w:t>see</w:t>
      </w:r>
      <w:r w:rsidRPr="007E0876">
        <w:rPr>
          <w:rFonts w:ascii="Times New Roman" w:hAnsi="Times New Roman"/>
          <w:sz w:val="24"/>
          <w:szCs w:val="24"/>
        </w:rPr>
        <w:t xml:space="preserve"> </w:t>
      </w:r>
      <w:r w:rsidRPr="007E0876">
        <w:rPr>
          <w:rFonts w:ascii="Times New Roman" w:hAnsi="Times New Roman"/>
          <w:sz w:val="24"/>
          <w:szCs w:val="24"/>
          <w:u w:val="single"/>
        </w:rPr>
        <w:t>also</w:t>
      </w:r>
      <w:r w:rsidRPr="007E0876">
        <w:rPr>
          <w:rFonts w:ascii="Times New Roman" w:hAnsi="Times New Roman"/>
          <w:sz w:val="24"/>
          <w:szCs w:val="24"/>
        </w:rPr>
        <w:t xml:space="preserve"> </w:t>
      </w:r>
      <w:r w:rsidRPr="007E0876">
        <w:rPr>
          <w:rFonts w:ascii="Times New Roman" w:hAnsi="Times New Roman"/>
          <w:sz w:val="24"/>
          <w:szCs w:val="24"/>
          <w:u w:val="single"/>
        </w:rPr>
        <w:t>Hammock v. Issa</w:t>
      </w:r>
      <w:r w:rsidRPr="007E0876">
        <w:rPr>
          <w:rFonts w:ascii="Times New Roman" w:hAnsi="Times New Roman"/>
          <w:sz w:val="24"/>
          <w:szCs w:val="24"/>
        </w:rPr>
        <w:t>, 310 Ga. App. 547 (2011) (“In a proceeding for confirmation of a foreclosure sale of real property, the judge sits as trier of fact, and his findings and conclusions have the effect of a jury verdict.”).</w:t>
      </w:r>
    </w:p>
  </w:footnote>
  <w:footnote w:id="32">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220 Ga. App. at 847.  </w:t>
      </w:r>
    </w:p>
  </w:footnote>
  <w:footnote w:id="33">
    <w:p w:rsidR="009F75C4" w:rsidRPr="007E0876" w:rsidRDefault="009F75C4" w:rsidP="00C83B50">
      <w:pPr>
        <w:pStyle w:val="FootnoteText"/>
        <w:rPr>
          <w:rFonts w:ascii="Times New Roman" w:hAnsi="Times New Roman"/>
          <w:sz w:val="24"/>
          <w:szCs w:val="24"/>
          <w:u w:val="single"/>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p>
  </w:footnote>
  <w:footnote w:id="34">
    <w:p w:rsidR="009F75C4" w:rsidRPr="007E0876" w:rsidRDefault="009F75C4" w:rsidP="00C83B50">
      <w:pPr>
        <w:pStyle w:val="FootnoteText"/>
        <w:rPr>
          <w:rFonts w:ascii="Times New Roman" w:hAnsi="Times New Roman"/>
          <w:sz w:val="24"/>
          <w:szCs w:val="24"/>
          <w:u w:val="single"/>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p>
  </w:footnote>
  <w:footnote w:id="35">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142 Ga. App. 420, 421 (1977).</w:t>
      </w:r>
    </w:p>
  </w:footnote>
  <w:footnote w:id="36">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See</w:t>
      </w:r>
      <w:r w:rsidRPr="007E0876">
        <w:rPr>
          <w:rFonts w:ascii="Times New Roman" w:hAnsi="Times New Roman"/>
          <w:sz w:val="24"/>
          <w:szCs w:val="24"/>
        </w:rPr>
        <w:t xml:space="preserve"> </w:t>
      </w:r>
      <w:r w:rsidRPr="007E0876">
        <w:rPr>
          <w:rFonts w:ascii="Times New Roman" w:hAnsi="Times New Roman"/>
          <w:sz w:val="24"/>
          <w:szCs w:val="24"/>
          <w:u w:val="single"/>
        </w:rPr>
        <w:t>also</w:t>
      </w:r>
      <w:r w:rsidRPr="007E0876">
        <w:rPr>
          <w:rFonts w:ascii="Times New Roman" w:hAnsi="Times New Roman"/>
          <w:sz w:val="24"/>
          <w:szCs w:val="24"/>
        </w:rPr>
        <w:t xml:space="preserve"> </w:t>
      </w:r>
      <w:r w:rsidRPr="007E0876">
        <w:rPr>
          <w:rFonts w:ascii="Times New Roman" w:hAnsi="Times New Roman"/>
          <w:sz w:val="24"/>
          <w:szCs w:val="24"/>
          <w:u w:val="single"/>
        </w:rPr>
        <w:t>Citizens Bank of Effingham v. Rocky Mountain Enterprises, LLC</w:t>
      </w:r>
      <w:r w:rsidRPr="007E0876">
        <w:rPr>
          <w:rFonts w:ascii="Times New Roman" w:hAnsi="Times New Roman"/>
          <w:sz w:val="24"/>
          <w:szCs w:val="24"/>
        </w:rPr>
        <w:t>, 308 Ga. App. 600, 600 (2011) (affirming trial court’s dismissal of bank’s application for confirmation where application was filed with the clerk of court rather than with the superior court judge).</w:t>
      </w:r>
    </w:p>
  </w:footnote>
  <w:footnote w:id="37">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Ameribank, N.A. v. Quttlebaum</w:t>
      </w:r>
      <w:r w:rsidRPr="007E0876">
        <w:rPr>
          <w:rFonts w:ascii="Times New Roman" w:hAnsi="Times New Roman"/>
          <w:sz w:val="24"/>
          <w:szCs w:val="24"/>
        </w:rPr>
        <w:t xml:space="preserve">, 269 Ga. 857 (1998); </w:t>
      </w:r>
      <w:r w:rsidRPr="007E0876">
        <w:rPr>
          <w:rFonts w:ascii="Times New Roman" w:hAnsi="Times New Roman"/>
          <w:sz w:val="24"/>
          <w:szCs w:val="24"/>
          <w:u w:val="single"/>
        </w:rPr>
        <w:t>Hill v. Moye</w:t>
      </w:r>
      <w:r w:rsidRPr="007E0876">
        <w:rPr>
          <w:rFonts w:ascii="Times New Roman" w:hAnsi="Times New Roman"/>
          <w:sz w:val="24"/>
          <w:szCs w:val="24"/>
        </w:rPr>
        <w:t xml:space="preserve">, 221 Ga. App. 411, 413 (1996); </w:t>
      </w:r>
      <w:r w:rsidRPr="007E0876">
        <w:rPr>
          <w:rFonts w:ascii="Times New Roman" w:hAnsi="Times New Roman"/>
          <w:sz w:val="24"/>
          <w:szCs w:val="24"/>
          <w:u w:val="single"/>
        </w:rPr>
        <w:t>First Nat’l Bank &amp; Trust Co. v. Kunes</w:t>
      </w:r>
      <w:r w:rsidRPr="007E0876">
        <w:rPr>
          <w:rFonts w:ascii="Times New Roman" w:hAnsi="Times New Roman"/>
          <w:sz w:val="24"/>
          <w:szCs w:val="24"/>
        </w:rPr>
        <w:t>, 128 Ga. App. 565, 567-68 (1973).</w:t>
      </w:r>
    </w:p>
  </w:footnote>
  <w:footnote w:id="38">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See</w:t>
      </w:r>
      <w:r w:rsidRPr="007E0876">
        <w:rPr>
          <w:rFonts w:ascii="Times New Roman" w:hAnsi="Times New Roman"/>
          <w:sz w:val="24"/>
          <w:szCs w:val="24"/>
        </w:rPr>
        <w:t xml:space="preserve"> </w:t>
      </w:r>
      <w:r w:rsidRPr="007E0876">
        <w:rPr>
          <w:rFonts w:ascii="Times New Roman" w:hAnsi="Times New Roman"/>
          <w:sz w:val="24"/>
          <w:szCs w:val="24"/>
          <w:u w:val="single"/>
        </w:rPr>
        <w:t>Vlass v. Security Pacific National Bank</w:t>
      </w:r>
      <w:r w:rsidRPr="007E0876">
        <w:rPr>
          <w:rFonts w:ascii="Times New Roman" w:hAnsi="Times New Roman"/>
          <w:sz w:val="24"/>
          <w:szCs w:val="24"/>
        </w:rPr>
        <w:t xml:space="preserve">, 263 Ga. 296 (1993) (“all that is statutorily required is that the debtor be personally served with notice of hearing on the creditor’s application at least five days prior thereto”); </w:t>
      </w:r>
      <w:r w:rsidRPr="007E0876">
        <w:rPr>
          <w:rFonts w:ascii="Times New Roman" w:hAnsi="Times New Roman"/>
          <w:sz w:val="24"/>
          <w:szCs w:val="24"/>
          <w:u w:val="single"/>
        </w:rPr>
        <w:t>see</w:t>
      </w:r>
      <w:r w:rsidRPr="007E0876">
        <w:rPr>
          <w:rFonts w:ascii="Times New Roman" w:hAnsi="Times New Roman"/>
          <w:sz w:val="24"/>
          <w:szCs w:val="24"/>
        </w:rPr>
        <w:t xml:space="preserve"> </w:t>
      </w:r>
      <w:r w:rsidRPr="007E0876">
        <w:rPr>
          <w:rFonts w:ascii="Times New Roman" w:hAnsi="Times New Roman"/>
          <w:sz w:val="24"/>
          <w:szCs w:val="24"/>
          <w:u w:val="single"/>
        </w:rPr>
        <w:t>also</w:t>
      </w:r>
      <w:r w:rsidRPr="007E0876">
        <w:rPr>
          <w:rFonts w:ascii="Times New Roman" w:hAnsi="Times New Roman"/>
          <w:sz w:val="24"/>
          <w:szCs w:val="24"/>
        </w:rPr>
        <w:t xml:space="preserve"> </w:t>
      </w:r>
      <w:r w:rsidRPr="007E0876">
        <w:rPr>
          <w:rFonts w:ascii="Times New Roman" w:hAnsi="Times New Roman"/>
          <w:sz w:val="24"/>
          <w:szCs w:val="24"/>
          <w:u w:val="single"/>
        </w:rPr>
        <w:t>Phelan v. Wells Fargo Credit Corporation</w:t>
      </w:r>
      <w:r w:rsidRPr="007E0876">
        <w:rPr>
          <w:rFonts w:ascii="Times New Roman" w:hAnsi="Times New Roman"/>
          <w:sz w:val="24"/>
          <w:szCs w:val="24"/>
        </w:rPr>
        <w:t>, 207 Ga. App. 54 (1993) (“personal service of the application is required in order to give legal notice”).</w:t>
      </w:r>
    </w:p>
  </w:footnote>
  <w:footnote w:id="39">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First National Bank &amp; Trust Company v. Kunes</w:t>
      </w:r>
      <w:r w:rsidRPr="007E0876">
        <w:rPr>
          <w:rFonts w:ascii="Times New Roman" w:hAnsi="Times New Roman"/>
          <w:sz w:val="24"/>
          <w:szCs w:val="24"/>
        </w:rPr>
        <w:t xml:space="preserve">, 128 Ga. App. 565 (1998); </w:t>
      </w:r>
      <w:r w:rsidRPr="007E0876">
        <w:rPr>
          <w:rFonts w:ascii="Times New Roman" w:hAnsi="Times New Roman"/>
          <w:sz w:val="24"/>
          <w:szCs w:val="24"/>
          <w:u w:val="single"/>
        </w:rPr>
        <w:t>Ameribank, N.A. v. Quattlebaum</w:t>
      </w:r>
      <w:r w:rsidRPr="007E0876">
        <w:rPr>
          <w:rFonts w:ascii="Times New Roman" w:hAnsi="Times New Roman"/>
          <w:sz w:val="24"/>
          <w:szCs w:val="24"/>
        </w:rPr>
        <w:t>, 269 Ga. 857 (1998).</w:t>
      </w:r>
    </w:p>
  </w:footnote>
  <w:footnote w:id="40">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r w:rsidRPr="007E0876">
        <w:rPr>
          <w:rFonts w:ascii="Times New Roman" w:hAnsi="Times New Roman"/>
          <w:sz w:val="24"/>
          <w:szCs w:val="24"/>
        </w:rPr>
        <w:t>.</w:t>
      </w:r>
    </w:p>
  </w:footnote>
  <w:footnote w:id="41">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128 Ga. App. at 567-68.</w:t>
      </w:r>
    </w:p>
  </w:footnote>
  <w:footnote w:id="42">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r w:rsidRPr="007E0876">
        <w:rPr>
          <w:rFonts w:ascii="Times New Roman" w:hAnsi="Times New Roman"/>
          <w:sz w:val="24"/>
          <w:szCs w:val="24"/>
        </w:rPr>
        <w:t>.  at 566-67.</w:t>
      </w:r>
    </w:p>
  </w:footnote>
  <w:footnote w:id="43">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r w:rsidRPr="007E0876">
        <w:rPr>
          <w:rFonts w:ascii="Times New Roman" w:hAnsi="Times New Roman"/>
          <w:sz w:val="24"/>
          <w:szCs w:val="24"/>
        </w:rPr>
        <w:t xml:space="preserve"> at 566.</w:t>
      </w:r>
    </w:p>
  </w:footnote>
  <w:footnote w:id="44">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Ameribank, N.A. v. Quttlebaum</w:t>
      </w:r>
      <w:r w:rsidRPr="007E0876">
        <w:rPr>
          <w:rFonts w:ascii="Times New Roman" w:hAnsi="Times New Roman"/>
          <w:sz w:val="24"/>
          <w:szCs w:val="24"/>
        </w:rPr>
        <w:t>, 269 Ga. at 859.</w:t>
      </w:r>
    </w:p>
  </w:footnote>
  <w:footnote w:id="45">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Civil Action Number 2009 CV 169507, Fulton County Superior Court, Georgia, “Order Granting Defendants’ Motion to Dismiss,” Mar. 2, 2010. </w:t>
      </w:r>
    </w:p>
  </w:footnote>
  <w:footnote w:id="46">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p>
  </w:footnote>
  <w:footnote w:id="47">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p>
  </w:footnote>
  <w:footnote w:id="48">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O.C.G.A. § 44-14-161; </w:t>
      </w:r>
      <w:r w:rsidRPr="007E0876">
        <w:rPr>
          <w:rFonts w:ascii="Times New Roman" w:hAnsi="Times New Roman"/>
          <w:sz w:val="24"/>
          <w:szCs w:val="24"/>
          <w:u w:val="single"/>
        </w:rPr>
        <w:t>Pope v. Trust Co Bank of Coffee County</w:t>
      </w:r>
      <w:r w:rsidRPr="007E0876">
        <w:rPr>
          <w:rFonts w:ascii="Times New Roman" w:hAnsi="Times New Roman"/>
          <w:sz w:val="24"/>
          <w:szCs w:val="24"/>
        </w:rPr>
        <w:t>, 186 Ga. App. 23 (1988).</w:t>
      </w:r>
    </w:p>
  </w:footnote>
  <w:footnote w:id="49">
    <w:p w:rsidR="009F75C4" w:rsidRPr="007E0876" w:rsidRDefault="009F75C4">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TWK Partners v. Archer Capital Fund</w:t>
      </w:r>
      <w:r w:rsidRPr="007E0876">
        <w:rPr>
          <w:rFonts w:ascii="Times New Roman" w:hAnsi="Times New Roman"/>
          <w:sz w:val="24"/>
          <w:szCs w:val="24"/>
        </w:rPr>
        <w:t xml:space="preserve">, 302 Ga. App. 443 (2010); </w:t>
      </w:r>
      <w:r w:rsidRPr="007E0876">
        <w:rPr>
          <w:rFonts w:ascii="Times New Roman" w:hAnsi="Times New Roman"/>
          <w:sz w:val="24"/>
          <w:szCs w:val="24"/>
          <w:u w:val="single"/>
        </w:rPr>
        <w:t>Pope</w:t>
      </w:r>
      <w:r w:rsidRPr="007E0876">
        <w:rPr>
          <w:rFonts w:ascii="Times New Roman" w:hAnsi="Times New Roman"/>
          <w:sz w:val="24"/>
          <w:szCs w:val="24"/>
        </w:rPr>
        <w:t>, 186 Ga. App. at 23.</w:t>
      </w:r>
    </w:p>
  </w:footnote>
  <w:footnote w:id="50">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Williams v. S. Central Farm Credit, ACA</w:t>
      </w:r>
      <w:r w:rsidRPr="007E0876">
        <w:rPr>
          <w:rFonts w:ascii="Times New Roman" w:hAnsi="Times New Roman"/>
          <w:sz w:val="24"/>
          <w:szCs w:val="24"/>
        </w:rPr>
        <w:t xml:space="preserve">, 215 Ga. App. 740, 742 (1994); </w:t>
      </w:r>
      <w:r w:rsidRPr="007E0876">
        <w:rPr>
          <w:rFonts w:ascii="Times New Roman" w:hAnsi="Times New Roman"/>
          <w:sz w:val="24"/>
          <w:szCs w:val="24"/>
          <w:u w:val="single"/>
        </w:rPr>
        <w:t>Pope</w:t>
      </w:r>
      <w:r w:rsidRPr="007E0876">
        <w:rPr>
          <w:rFonts w:ascii="Times New Roman" w:hAnsi="Times New Roman"/>
          <w:sz w:val="24"/>
          <w:szCs w:val="24"/>
        </w:rPr>
        <w:t>, 186 Ga. App. at 23.</w:t>
      </w:r>
    </w:p>
  </w:footnote>
  <w:footnote w:id="51">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p>
  </w:footnote>
  <w:footnote w:id="52">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Southeast Timberlands, Inc. v. Security Nat’l Bank</w:t>
      </w:r>
      <w:r w:rsidRPr="007E0876">
        <w:rPr>
          <w:rFonts w:ascii="Times New Roman" w:hAnsi="Times New Roman"/>
          <w:sz w:val="24"/>
          <w:szCs w:val="24"/>
        </w:rPr>
        <w:t xml:space="preserve">, 220 Ga. App. 359, 360 (1996).  </w:t>
      </w:r>
    </w:p>
  </w:footnote>
  <w:footnote w:id="53">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Foster v. Farmers and Merchants Bank (In re Foster)</w:t>
      </w:r>
      <w:r w:rsidRPr="007E0876">
        <w:rPr>
          <w:rFonts w:ascii="Times New Roman" w:hAnsi="Times New Roman"/>
          <w:sz w:val="24"/>
          <w:szCs w:val="24"/>
        </w:rPr>
        <w:t>, 108 B.R. 361 (Bankr. M.D. Ga. 1989)(applying Georgia law).</w:t>
      </w:r>
    </w:p>
  </w:footnote>
  <w:footnote w:id="54">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r w:rsidRPr="007E0876">
        <w:rPr>
          <w:rFonts w:ascii="Times New Roman" w:hAnsi="Times New Roman"/>
          <w:sz w:val="24"/>
          <w:szCs w:val="24"/>
        </w:rPr>
        <w:t xml:space="preserve">  </w:t>
      </w:r>
      <w:r w:rsidRPr="007E0876">
        <w:rPr>
          <w:rFonts w:ascii="Times New Roman" w:hAnsi="Times New Roman"/>
          <w:sz w:val="24"/>
          <w:szCs w:val="24"/>
          <w:u w:val="single"/>
        </w:rPr>
        <w:t>But</w:t>
      </w:r>
      <w:r w:rsidRPr="007E0876">
        <w:rPr>
          <w:rFonts w:ascii="Times New Roman" w:hAnsi="Times New Roman"/>
          <w:sz w:val="24"/>
          <w:szCs w:val="24"/>
        </w:rPr>
        <w:t xml:space="preserve"> </w:t>
      </w:r>
      <w:r w:rsidRPr="007E0876">
        <w:rPr>
          <w:rFonts w:ascii="Times New Roman" w:hAnsi="Times New Roman"/>
          <w:sz w:val="24"/>
          <w:szCs w:val="24"/>
          <w:u w:val="single"/>
        </w:rPr>
        <w:t>see</w:t>
      </w:r>
      <w:r w:rsidRPr="007E0876">
        <w:rPr>
          <w:rFonts w:ascii="Times New Roman" w:hAnsi="Times New Roman"/>
          <w:sz w:val="24"/>
          <w:szCs w:val="24"/>
        </w:rPr>
        <w:t xml:space="preserve"> </w:t>
      </w:r>
      <w:r w:rsidRPr="007E0876">
        <w:rPr>
          <w:rFonts w:ascii="Times New Roman" w:hAnsi="Times New Roman"/>
          <w:sz w:val="24"/>
          <w:szCs w:val="24"/>
          <w:u w:val="single"/>
        </w:rPr>
        <w:t>Dan Woodley Communites, Inc. v. Suntrust Bank</w:t>
      </w:r>
      <w:r w:rsidRPr="007E0876">
        <w:rPr>
          <w:rFonts w:ascii="Times New Roman" w:hAnsi="Times New Roman"/>
          <w:sz w:val="24"/>
          <w:szCs w:val="24"/>
        </w:rPr>
        <w:t>, 310 Ga. App. 656 (2011) (affirming confirmation action even though bank’s foreclosure advertisement failed to mention sales of 6 or 7 condo units prior to foreclosure and where it was claimed that such error chilled bidding).</w:t>
      </w:r>
    </w:p>
  </w:footnote>
  <w:footnote w:id="55">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O.C.G.A. § 44-14-162.</w:t>
      </w:r>
    </w:p>
  </w:footnote>
  <w:footnote w:id="56">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O.C.G.A. § 9-13-161(b).</w:t>
      </w:r>
    </w:p>
  </w:footnote>
  <w:footnote w:id="57">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O.C.G.A. § 9-13-161(a).</w:t>
      </w:r>
    </w:p>
  </w:footnote>
  <w:footnote w:id="58">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O.C.G.A. § 9-13-161(a).</w:t>
      </w:r>
    </w:p>
  </w:footnote>
  <w:footnote w:id="59">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Hood Oil Co. v. Moss</w:t>
      </w:r>
      <w:r w:rsidRPr="007E0876">
        <w:rPr>
          <w:rFonts w:ascii="Times New Roman" w:hAnsi="Times New Roman"/>
          <w:sz w:val="24"/>
          <w:szCs w:val="24"/>
        </w:rPr>
        <w:t>, 134 Ga.  App. 477 (1975).</w:t>
      </w:r>
    </w:p>
  </w:footnote>
  <w:footnote w:id="60">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Though most attorneys representing banks are now aware that there is a special area at the courthouse for foreclosure sales, some still just find the first set of steps and start reading.  If they are not on the correct steps, the sale is irregular. </w:t>
      </w:r>
    </w:p>
  </w:footnote>
  <w:footnote w:id="61">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Gutherie v. Ford Equip. Leasing Co.</w:t>
      </w:r>
      <w:r w:rsidRPr="007E0876">
        <w:rPr>
          <w:rFonts w:ascii="Times New Roman" w:hAnsi="Times New Roman"/>
          <w:sz w:val="24"/>
          <w:szCs w:val="24"/>
        </w:rPr>
        <w:t>, 206 Ga. App. 258, 259, 424 S.E.2d 889, 890 (1992).</w:t>
      </w:r>
    </w:p>
  </w:footnote>
  <w:footnote w:id="62">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r w:rsidRPr="007E0876">
        <w:rPr>
          <w:rFonts w:ascii="Times New Roman" w:hAnsi="Times New Roman"/>
          <w:sz w:val="24"/>
          <w:szCs w:val="24"/>
        </w:rPr>
        <w:t xml:space="preserve"> (citations omitted).</w:t>
      </w:r>
    </w:p>
  </w:footnote>
  <w:footnote w:id="63">
    <w:p w:rsidR="009F75C4" w:rsidRPr="007E0876" w:rsidRDefault="009F75C4" w:rsidP="00C83B50">
      <w:pPr>
        <w:pStyle w:val="FootnoteText"/>
        <w:rPr>
          <w:rFonts w:ascii="Times New Roman" w:hAnsi="Times New Roman"/>
          <w:sz w:val="24"/>
          <w:szCs w:val="24"/>
          <w:u w:val="single"/>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p>
  </w:footnote>
  <w:footnote w:id="64">
    <w:p w:rsidR="009F75C4" w:rsidRPr="007E0876" w:rsidRDefault="009F75C4" w:rsidP="00C83B50">
      <w:pPr>
        <w:pStyle w:val="FootnoteText"/>
        <w:rPr>
          <w:rFonts w:ascii="Times New Roman" w:hAnsi="Times New Roman"/>
          <w:sz w:val="24"/>
          <w:szCs w:val="24"/>
          <w:u w:val="single"/>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p>
  </w:footnote>
  <w:footnote w:id="65">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r w:rsidRPr="007E0876">
        <w:rPr>
          <w:rFonts w:ascii="Times New Roman" w:hAnsi="Times New Roman"/>
          <w:sz w:val="24"/>
          <w:szCs w:val="24"/>
        </w:rPr>
        <w:t>, 424 S.E.2d at 891.</w:t>
      </w:r>
    </w:p>
  </w:footnote>
  <w:footnote w:id="66">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Thompson v. Maslia</w:t>
      </w:r>
      <w:r w:rsidRPr="007E0876">
        <w:rPr>
          <w:rFonts w:ascii="Times New Roman" w:hAnsi="Times New Roman"/>
          <w:sz w:val="24"/>
          <w:szCs w:val="24"/>
        </w:rPr>
        <w:t>, 127 Ga. App. 758 (1972)</w:t>
      </w:r>
    </w:p>
  </w:footnote>
  <w:footnote w:id="67">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Gutherie</w:t>
      </w:r>
      <w:r w:rsidRPr="007E0876">
        <w:rPr>
          <w:rFonts w:ascii="Times New Roman" w:hAnsi="Times New Roman"/>
          <w:sz w:val="24"/>
          <w:szCs w:val="24"/>
        </w:rPr>
        <w:t xml:space="preserve">, 206 Ga. App. at 261; </w:t>
      </w:r>
      <w:r w:rsidRPr="007E0876">
        <w:rPr>
          <w:rFonts w:ascii="Times New Roman" w:hAnsi="Times New Roman"/>
          <w:sz w:val="24"/>
          <w:szCs w:val="24"/>
          <w:u w:val="single"/>
        </w:rPr>
        <w:t>Henderson Property Holdings, LLC v. Sea Island Bank</w:t>
      </w:r>
      <w:r w:rsidRPr="007E0876">
        <w:rPr>
          <w:rFonts w:ascii="Times New Roman" w:hAnsi="Times New Roman"/>
          <w:sz w:val="24"/>
          <w:szCs w:val="24"/>
        </w:rPr>
        <w:t>, 310 Ga. App. 795 (2011).</w:t>
      </w:r>
    </w:p>
  </w:footnote>
  <w:footnote w:id="68">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266 Ga. 514 (1996).</w:t>
      </w:r>
    </w:p>
  </w:footnote>
  <w:footnote w:id="69">
    <w:p w:rsidR="009F75C4" w:rsidRPr="007E0876" w:rsidRDefault="009F75C4" w:rsidP="00C83B50">
      <w:pPr>
        <w:pStyle w:val="FootnoteText"/>
        <w:rPr>
          <w:rFonts w:ascii="Times New Roman" w:hAnsi="Times New Roman"/>
          <w:sz w:val="24"/>
          <w:szCs w:val="24"/>
          <w:u w:val="single"/>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 xml:space="preserve">Id. </w:t>
      </w:r>
    </w:p>
  </w:footnote>
  <w:footnote w:id="70">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Phelan v. Wells Fargo Credit Corporation</w:t>
      </w:r>
      <w:r w:rsidRPr="007E0876">
        <w:rPr>
          <w:rFonts w:ascii="Times New Roman" w:hAnsi="Times New Roman"/>
          <w:sz w:val="24"/>
          <w:szCs w:val="24"/>
        </w:rPr>
        <w:t>, 207 Ga. App. 54 (1993)</w:t>
      </w:r>
    </w:p>
  </w:footnote>
  <w:footnote w:id="71">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p>
  </w:footnote>
  <w:footnote w:id="72">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r w:rsidRPr="007E0876">
        <w:rPr>
          <w:rFonts w:ascii="Times New Roman" w:hAnsi="Times New Roman"/>
          <w:sz w:val="24"/>
          <w:szCs w:val="24"/>
        </w:rPr>
        <w:t xml:space="preserve">  </w:t>
      </w:r>
    </w:p>
  </w:footnote>
  <w:footnote w:id="73">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p>
  </w:footnote>
  <w:footnote w:id="74">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p>
  </w:footnote>
  <w:footnote w:id="75">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p>
  </w:footnote>
  <w:footnote w:id="76">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p>
  </w:footnote>
  <w:footnote w:id="77">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Thomas A. Mauet, Trial Techniques 167-68 (6</w:t>
      </w:r>
      <w:r w:rsidRPr="007E0876">
        <w:rPr>
          <w:rFonts w:ascii="Times New Roman" w:hAnsi="Times New Roman"/>
          <w:sz w:val="24"/>
          <w:szCs w:val="24"/>
          <w:vertAlign w:val="superscript"/>
        </w:rPr>
        <w:t>th</w:t>
      </w:r>
      <w:r w:rsidRPr="007E0876">
        <w:rPr>
          <w:rFonts w:ascii="Times New Roman" w:hAnsi="Times New Roman"/>
          <w:sz w:val="24"/>
          <w:szCs w:val="24"/>
        </w:rPr>
        <w:t xml:space="preserve"> ed. 2002).</w:t>
      </w:r>
    </w:p>
  </w:footnote>
  <w:footnote w:id="78">
    <w:p w:rsidR="009F75C4" w:rsidRPr="007E0876" w:rsidRDefault="009F75C4" w:rsidP="00C83B50">
      <w:pPr>
        <w:pStyle w:val="ListParagraph"/>
        <w:ind w:left="0"/>
        <w:rPr>
          <w:rFonts w:ascii="Times New Roman" w:hAnsi="Times New Roman"/>
        </w:rPr>
      </w:pPr>
      <w:r w:rsidRPr="007E0876">
        <w:rPr>
          <w:rStyle w:val="FootnoteReference"/>
          <w:rFonts w:ascii="Times New Roman" w:hAnsi="Times New Roman"/>
        </w:rPr>
        <w:footnoteRef/>
      </w:r>
      <w:r w:rsidRPr="007E0876">
        <w:rPr>
          <w:rFonts w:ascii="Times New Roman" w:hAnsi="Times New Roman"/>
        </w:rPr>
        <w:t xml:space="preserve"> </w:t>
      </w:r>
      <w:r w:rsidRPr="007E0876">
        <w:rPr>
          <w:rFonts w:ascii="Times New Roman" w:hAnsi="Times New Roman"/>
          <w:u w:val="single"/>
        </w:rPr>
        <w:t>PSI Pneumatic Structures, Inc. v. Citizens &amp; Southern Newnan Bank,</w:t>
      </w:r>
      <w:r w:rsidRPr="007E0876">
        <w:rPr>
          <w:rFonts w:ascii="Times New Roman" w:hAnsi="Times New Roman"/>
        </w:rPr>
        <w:t xml:space="preserve"> 159 Ga. App. 766 (1981); </w:t>
      </w:r>
      <w:r w:rsidRPr="007E0876">
        <w:rPr>
          <w:rFonts w:ascii="Times New Roman" w:hAnsi="Times New Roman"/>
          <w:u w:val="single"/>
        </w:rPr>
        <w:t>Mathis v. Citizens Dekalb Bank</w:t>
      </w:r>
      <w:r w:rsidRPr="007E0876">
        <w:rPr>
          <w:rFonts w:ascii="Times New Roman" w:hAnsi="Times New Roman"/>
        </w:rPr>
        <w:t>, 157 Ga. App. 693 (1981)</w:t>
      </w:r>
    </w:p>
  </w:footnote>
  <w:footnote w:id="79">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bCs/>
          <w:sz w:val="24"/>
          <w:szCs w:val="24"/>
          <w:u w:val="single"/>
        </w:rPr>
        <w:t>Martin v. Federal Land Bank of Columbia</w:t>
      </w:r>
      <w:r w:rsidRPr="007E0876">
        <w:rPr>
          <w:rFonts w:ascii="Times New Roman" w:hAnsi="Times New Roman"/>
          <w:bCs/>
          <w:sz w:val="24"/>
          <w:szCs w:val="24"/>
        </w:rPr>
        <w:t>, 173 Ga. App. 142 (1984).</w:t>
      </w:r>
    </w:p>
  </w:footnote>
  <w:footnote w:id="80">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Gutherie</w:t>
      </w:r>
      <w:r w:rsidRPr="007E0876">
        <w:rPr>
          <w:rFonts w:ascii="Times New Roman" w:hAnsi="Times New Roman"/>
          <w:sz w:val="24"/>
          <w:szCs w:val="24"/>
        </w:rPr>
        <w:t>, 206 Ga. App. at 259.</w:t>
      </w:r>
    </w:p>
  </w:footnote>
  <w:footnote w:id="81">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O.C.G.A. § 44-14-161(c).</w:t>
      </w:r>
    </w:p>
  </w:footnote>
  <w:footnote w:id="82">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Resolution Trust Corp. v. Morrow Auto Center, Ltd.</w:t>
      </w:r>
      <w:r w:rsidRPr="007E0876">
        <w:rPr>
          <w:rFonts w:ascii="Times New Roman" w:hAnsi="Times New Roman"/>
          <w:sz w:val="24"/>
          <w:szCs w:val="24"/>
        </w:rPr>
        <w:t>, 216 Ga. App. 226, 228 (1995).</w:t>
      </w:r>
    </w:p>
  </w:footnote>
  <w:footnote w:id="83">
    <w:p w:rsidR="009F75C4" w:rsidRPr="007E0876" w:rsidRDefault="009F75C4" w:rsidP="00C83B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Dorsey v. Mancuso</w:t>
      </w:r>
      <w:r w:rsidRPr="007E0876">
        <w:rPr>
          <w:rFonts w:ascii="Times New Roman" w:hAnsi="Times New Roman"/>
          <w:sz w:val="24"/>
          <w:szCs w:val="24"/>
        </w:rPr>
        <w:t xml:space="preserve">, 249 Ga. App. 259 (2001)(finding that due to the limited nature of a confirmation hearing, the judge in that proceeding could not make a determination as to whether the debtor executed a security deed in his personal or representative capacity); </w:t>
      </w:r>
      <w:r w:rsidRPr="007E0876">
        <w:rPr>
          <w:rFonts w:ascii="Times New Roman" w:hAnsi="Times New Roman"/>
          <w:sz w:val="24"/>
          <w:szCs w:val="24"/>
          <w:u w:val="single"/>
        </w:rPr>
        <w:t>Alexander v. Weems</w:t>
      </w:r>
      <w:r w:rsidRPr="007E0876">
        <w:rPr>
          <w:rFonts w:ascii="Times New Roman" w:hAnsi="Times New Roman"/>
          <w:sz w:val="24"/>
          <w:szCs w:val="24"/>
        </w:rPr>
        <w:t>, 157 Ga. App. 507 (1981)(holding “the [confirmation] statute does not contemplate that the court shall undertake to decide controversies between the parties as to the amount of the debt or side agreements which could have been the basis of an injunction preventing the foreclosure sale.”).</w:t>
      </w:r>
    </w:p>
  </w:footnote>
  <w:footnote w:id="84">
    <w:p w:rsidR="009F75C4" w:rsidRPr="007E0876" w:rsidRDefault="009F75C4">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Custom Panel Sys., Inc. v. Bank of Hampton</w:t>
      </w:r>
      <w:r w:rsidRPr="007E0876">
        <w:rPr>
          <w:rFonts w:ascii="Times New Roman" w:hAnsi="Times New Roman"/>
          <w:sz w:val="24"/>
          <w:szCs w:val="24"/>
        </w:rPr>
        <w:t xml:space="preserve">, 143 Ga. App. 681, 682 (1977); </w:t>
      </w:r>
      <w:r w:rsidRPr="007E0876">
        <w:rPr>
          <w:rFonts w:ascii="Times New Roman" w:eastAsia="Times New Roman" w:hAnsi="Times New Roman"/>
          <w:sz w:val="24"/>
          <w:szCs w:val="24"/>
          <w:u w:val="single"/>
        </w:rPr>
        <w:t>Ginn v. Citizens &amp; S. Nat. Bank</w:t>
      </w:r>
      <w:r w:rsidRPr="007E0876">
        <w:rPr>
          <w:rFonts w:ascii="Times New Roman" w:eastAsia="Times New Roman" w:hAnsi="Times New Roman"/>
          <w:sz w:val="24"/>
          <w:szCs w:val="24"/>
        </w:rPr>
        <w:t>, 145 Ga. App. 175, 176 (1978).</w:t>
      </w:r>
    </w:p>
  </w:footnote>
  <w:footnote w:id="85">
    <w:p w:rsidR="009F75C4" w:rsidRPr="007E0876" w:rsidRDefault="009F75C4">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O.C.G.A. § 13-5-30(2).</w:t>
      </w:r>
    </w:p>
  </w:footnote>
  <w:footnote w:id="86">
    <w:p w:rsidR="009F75C4" w:rsidRPr="007E0876" w:rsidRDefault="009F75C4">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John Deere Co. v. Haralson</w:t>
      </w:r>
      <w:r w:rsidRPr="007E0876">
        <w:rPr>
          <w:rFonts w:ascii="Times New Roman" w:hAnsi="Times New Roman"/>
          <w:sz w:val="24"/>
          <w:szCs w:val="24"/>
        </w:rPr>
        <w:t xml:space="preserve">, 278 Ga. 192, 193 (2004); </w:t>
      </w:r>
      <w:r w:rsidRPr="007E0876">
        <w:rPr>
          <w:rFonts w:ascii="Times New Roman" w:hAnsi="Times New Roman"/>
          <w:sz w:val="24"/>
          <w:szCs w:val="24"/>
          <w:u w:val="single"/>
        </w:rPr>
        <w:t>see</w:t>
      </w:r>
      <w:r w:rsidRPr="007E0876">
        <w:rPr>
          <w:rFonts w:ascii="Times New Roman" w:hAnsi="Times New Roman"/>
          <w:sz w:val="24"/>
          <w:szCs w:val="24"/>
        </w:rPr>
        <w:t xml:space="preserve"> </w:t>
      </w:r>
      <w:r w:rsidRPr="007E0876">
        <w:rPr>
          <w:rFonts w:ascii="Times New Roman" w:hAnsi="Times New Roman"/>
          <w:sz w:val="24"/>
          <w:szCs w:val="24"/>
          <w:u w:val="single"/>
        </w:rPr>
        <w:t>also</w:t>
      </w:r>
      <w:r w:rsidRPr="007E0876">
        <w:rPr>
          <w:rFonts w:ascii="Times New Roman" w:hAnsi="Times New Roman"/>
          <w:sz w:val="24"/>
          <w:szCs w:val="24"/>
        </w:rPr>
        <w:t xml:space="preserve"> </w:t>
      </w:r>
      <w:r w:rsidRPr="007E0876">
        <w:rPr>
          <w:rFonts w:ascii="Times New Roman" w:hAnsi="Times New Roman"/>
          <w:sz w:val="24"/>
          <w:szCs w:val="24"/>
          <w:u w:val="single"/>
        </w:rPr>
        <w:t>Tampa Inv. Group, Inc. v, Brand Banking and Trust Co., Inc.</w:t>
      </w:r>
      <w:r w:rsidRPr="007E0876">
        <w:rPr>
          <w:rFonts w:ascii="Times New Roman" w:hAnsi="Times New Roman"/>
          <w:sz w:val="24"/>
          <w:szCs w:val="24"/>
        </w:rPr>
        <w:t>, 290 Ga. 724, 728 (2012).</w:t>
      </w:r>
    </w:p>
  </w:footnote>
  <w:footnote w:id="87">
    <w:p w:rsidR="009F75C4" w:rsidRPr="007E0876" w:rsidRDefault="009F75C4">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Dabbs v. Key Equip. Finance</w:t>
      </w:r>
      <w:r w:rsidRPr="007E0876">
        <w:rPr>
          <w:rFonts w:ascii="Times New Roman" w:hAnsi="Times New Roman"/>
          <w:sz w:val="24"/>
          <w:szCs w:val="24"/>
        </w:rPr>
        <w:t>, 303 Ga. App. 570, 572-73 (2010).</w:t>
      </w:r>
    </w:p>
  </w:footnote>
  <w:footnote w:id="88">
    <w:p w:rsidR="009F75C4" w:rsidRPr="007E0876" w:rsidRDefault="009F75C4">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r w:rsidRPr="007E0876">
        <w:rPr>
          <w:rFonts w:ascii="Times New Roman" w:hAnsi="Times New Roman"/>
          <w:sz w:val="24"/>
          <w:szCs w:val="24"/>
        </w:rPr>
        <w:t xml:space="preserve"> at 572-73.</w:t>
      </w:r>
    </w:p>
  </w:footnote>
  <w:footnote w:id="89">
    <w:p w:rsidR="009F75C4" w:rsidRPr="007E0876" w:rsidRDefault="009F75C4">
      <w:pPr>
        <w:pStyle w:val="FootnoteText"/>
        <w:rPr>
          <w:rFonts w:ascii="Times New Roman" w:hAnsi="Times New Roman"/>
          <w:sz w:val="24"/>
          <w:szCs w:val="24"/>
          <w:u w:val="single"/>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r w:rsidRPr="007E0876">
        <w:rPr>
          <w:rFonts w:ascii="Times New Roman" w:hAnsi="Times New Roman"/>
          <w:sz w:val="24"/>
          <w:szCs w:val="24"/>
        </w:rPr>
        <w:t xml:space="preserve"> at 573-76.</w:t>
      </w:r>
    </w:p>
  </w:footnote>
  <w:footnote w:id="90">
    <w:p w:rsidR="009F75C4" w:rsidRPr="007E0876" w:rsidRDefault="009F75C4">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p>
  </w:footnote>
  <w:footnote w:id="91">
    <w:p w:rsidR="009F75C4" w:rsidRPr="007E0876" w:rsidRDefault="009F75C4">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729 S.E.2d 612 (2012).</w:t>
      </w:r>
    </w:p>
  </w:footnote>
  <w:footnote w:id="92">
    <w:p w:rsidR="00A719E0" w:rsidRPr="007E0876" w:rsidRDefault="00A719E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322 Ga. App. 877 (2013).</w:t>
      </w:r>
    </w:p>
  </w:footnote>
  <w:footnote w:id="93">
    <w:p w:rsidR="00DE28A0" w:rsidRPr="007E0876" w:rsidRDefault="00DE28A0">
      <w:pPr>
        <w:pStyle w:val="FootnoteText"/>
        <w:rPr>
          <w:rFonts w:ascii="Times New Roman" w:hAnsi="Times New Roman"/>
          <w:sz w:val="24"/>
          <w:szCs w:val="24"/>
          <w:u w:val="single"/>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p>
  </w:footnote>
  <w:footnote w:id="94">
    <w:p w:rsidR="00E95550" w:rsidRPr="007E0876" w:rsidRDefault="00E95550">
      <w:pPr>
        <w:pStyle w:val="FootnoteText"/>
        <w:rPr>
          <w:rFonts w:ascii="Times New Roman" w:hAnsi="Times New Roman"/>
          <w:sz w:val="24"/>
          <w:szCs w:val="24"/>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r w:rsidRPr="007E0876">
        <w:rPr>
          <w:rFonts w:ascii="Times New Roman" w:hAnsi="Times New Roman"/>
          <w:sz w:val="24"/>
          <w:szCs w:val="24"/>
        </w:rPr>
        <w:t>at 887.</w:t>
      </w:r>
    </w:p>
  </w:footnote>
  <w:footnote w:id="95">
    <w:p w:rsidR="00F04833" w:rsidRPr="007E0876" w:rsidRDefault="00F04833">
      <w:pPr>
        <w:pStyle w:val="FootnoteText"/>
        <w:rPr>
          <w:rFonts w:ascii="Times New Roman" w:hAnsi="Times New Roman"/>
          <w:sz w:val="24"/>
          <w:szCs w:val="24"/>
          <w:u w:val="single"/>
        </w:rPr>
      </w:pPr>
      <w:r w:rsidRPr="007E0876">
        <w:rPr>
          <w:rStyle w:val="FootnoteReference"/>
          <w:rFonts w:ascii="Times New Roman" w:hAnsi="Times New Roman"/>
          <w:sz w:val="24"/>
          <w:szCs w:val="24"/>
        </w:rPr>
        <w:footnoteRef/>
      </w:r>
      <w:r w:rsidRPr="007E0876">
        <w:rPr>
          <w:rFonts w:ascii="Times New Roman" w:hAnsi="Times New Roman"/>
          <w:sz w:val="24"/>
          <w:szCs w:val="24"/>
        </w:rPr>
        <w:t xml:space="preserve"> </w:t>
      </w:r>
      <w:r w:rsidRPr="007E0876">
        <w:rPr>
          <w:rFonts w:ascii="Times New Roman" w:hAnsi="Times New Roman"/>
          <w:sz w:val="24"/>
          <w:szCs w:val="24"/>
          <w:u w:val="single"/>
        </w:rPr>
        <w:t>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6E6"/>
    <w:multiLevelType w:val="hybridMultilevel"/>
    <w:tmpl w:val="AB08D886"/>
    <w:lvl w:ilvl="0" w:tplc="AA96A79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4B4173"/>
    <w:multiLevelType w:val="hybridMultilevel"/>
    <w:tmpl w:val="DCDC6170"/>
    <w:lvl w:ilvl="0" w:tplc="C104602C">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43731D"/>
    <w:multiLevelType w:val="hybridMultilevel"/>
    <w:tmpl w:val="2E0CE02C"/>
    <w:lvl w:ilvl="0" w:tplc="EB420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1A51B9"/>
    <w:multiLevelType w:val="hybridMultilevel"/>
    <w:tmpl w:val="32F09DF4"/>
    <w:lvl w:ilvl="0" w:tplc="04E065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229AA"/>
    <w:multiLevelType w:val="hybridMultilevel"/>
    <w:tmpl w:val="54C22A38"/>
    <w:lvl w:ilvl="0" w:tplc="2F2E6EFC">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250AD"/>
    <w:multiLevelType w:val="hybridMultilevel"/>
    <w:tmpl w:val="E7BE1E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370B65"/>
    <w:multiLevelType w:val="hybridMultilevel"/>
    <w:tmpl w:val="DD743990"/>
    <w:lvl w:ilvl="0" w:tplc="B81EDB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DE10E2"/>
    <w:multiLevelType w:val="hybridMultilevel"/>
    <w:tmpl w:val="347CCB8C"/>
    <w:lvl w:ilvl="0" w:tplc="C6761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7712B6"/>
    <w:multiLevelType w:val="hybridMultilevel"/>
    <w:tmpl w:val="25AEC606"/>
    <w:lvl w:ilvl="0" w:tplc="2C1C8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010BAF"/>
    <w:multiLevelType w:val="hybridMultilevel"/>
    <w:tmpl w:val="FBC08BFE"/>
    <w:lvl w:ilvl="0" w:tplc="E5822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62F1D"/>
    <w:multiLevelType w:val="hybridMultilevel"/>
    <w:tmpl w:val="29805AFC"/>
    <w:lvl w:ilvl="0" w:tplc="017EAD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466453"/>
    <w:multiLevelType w:val="hybridMultilevel"/>
    <w:tmpl w:val="14987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49A0038"/>
    <w:multiLevelType w:val="hybridMultilevel"/>
    <w:tmpl w:val="79A883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76D31"/>
    <w:multiLevelType w:val="hybridMultilevel"/>
    <w:tmpl w:val="1F8EF7EA"/>
    <w:lvl w:ilvl="0" w:tplc="C1741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4C97014"/>
    <w:multiLevelType w:val="hybridMultilevel"/>
    <w:tmpl w:val="FA8427D2"/>
    <w:lvl w:ilvl="0" w:tplc="BD9801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633076"/>
    <w:multiLevelType w:val="hybridMultilevel"/>
    <w:tmpl w:val="86888976"/>
    <w:lvl w:ilvl="0" w:tplc="A19429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FF263A"/>
    <w:multiLevelType w:val="hybridMultilevel"/>
    <w:tmpl w:val="43DEFAFA"/>
    <w:lvl w:ilvl="0" w:tplc="04090015">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9765130"/>
    <w:multiLevelType w:val="hybridMultilevel"/>
    <w:tmpl w:val="A5564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B093C08"/>
    <w:multiLevelType w:val="hybridMultilevel"/>
    <w:tmpl w:val="22929942"/>
    <w:lvl w:ilvl="0" w:tplc="70340A72">
      <w:start w:val="5"/>
      <w:numFmt w:val="decimal"/>
      <w:lvlText w:val="%1."/>
      <w:lvlJc w:val="left"/>
      <w:pPr>
        <w:ind w:left="720" w:hanging="720"/>
      </w:pPr>
      <w:rPr>
        <w:rFonts w:hint="default"/>
      </w:rPr>
    </w:lvl>
    <w:lvl w:ilvl="1" w:tplc="A0821950">
      <w:start w:val="1"/>
      <w:numFmt w:val="upperLetter"/>
      <w:lvlText w:val="%2."/>
      <w:lvlJc w:val="left"/>
      <w:pPr>
        <w:ind w:left="1080" w:hanging="360"/>
      </w:pPr>
      <w:rPr>
        <w:rFonts w:ascii="Georgia" w:eastAsia="Times New Roman" w:hAnsi="Georgia"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5E0651"/>
    <w:multiLevelType w:val="hybridMultilevel"/>
    <w:tmpl w:val="1508261C"/>
    <w:lvl w:ilvl="0" w:tplc="1172AE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F575217"/>
    <w:multiLevelType w:val="hybridMultilevel"/>
    <w:tmpl w:val="CF36C306"/>
    <w:lvl w:ilvl="0" w:tplc="90429E06">
      <w:start w:val="1"/>
      <w:numFmt w:val="decimal"/>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9D3105"/>
    <w:multiLevelType w:val="hybridMultilevel"/>
    <w:tmpl w:val="B4885582"/>
    <w:lvl w:ilvl="0" w:tplc="EC4CBBE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6F22B1E"/>
    <w:multiLevelType w:val="hybridMultilevel"/>
    <w:tmpl w:val="09B83CF2"/>
    <w:lvl w:ilvl="0" w:tplc="A686FC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9971FA7"/>
    <w:multiLevelType w:val="hybridMultilevel"/>
    <w:tmpl w:val="F5B4A916"/>
    <w:lvl w:ilvl="0" w:tplc="14CAF1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B20709A"/>
    <w:multiLevelType w:val="hybridMultilevel"/>
    <w:tmpl w:val="1214DCD8"/>
    <w:lvl w:ilvl="0" w:tplc="90FCB94A">
      <w:start w:val="2"/>
      <w:numFmt w:val="decimal"/>
      <w:lvlText w:val="%1."/>
      <w:lvlJc w:val="left"/>
      <w:pPr>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2F7DB9"/>
    <w:multiLevelType w:val="hybridMultilevel"/>
    <w:tmpl w:val="22929942"/>
    <w:lvl w:ilvl="0" w:tplc="70340A72">
      <w:start w:val="5"/>
      <w:numFmt w:val="decimal"/>
      <w:lvlText w:val="%1."/>
      <w:lvlJc w:val="left"/>
      <w:pPr>
        <w:ind w:left="720" w:hanging="720"/>
      </w:pPr>
      <w:rPr>
        <w:rFonts w:hint="default"/>
      </w:rPr>
    </w:lvl>
    <w:lvl w:ilvl="1" w:tplc="A0821950">
      <w:start w:val="1"/>
      <w:numFmt w:val="upperLetter"/>
      <w:lvlText w:val="%2."/>
      <w:lvlJc w:val="left"/>
      <w:pPr>
        <w:ind w:left="1080" w:hanging="360"/>
      </w:pPr>
      <w:rPr>
        <w:rFonts w:ascii="Georgia" w:eastAsia="Times New Roman" w:hAnsi="Georgia"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8FE782F"/>
    <w:multiLevelType w:val="hybridMultilevel"/>
    <w:tmpl w:val="4BB61A62"/>
    <w:lvl w:ilvl="0" w:tplc="D034F5E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8356A3"/>
    <w:multiLevelType w:val="hybridMultilevel"/>
    <w:tmpl w:val="CD8CFF9C"/>
    <w:lvl w:ilvl="0" w:tplc="D7989344">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9"/>
  </w:num>
  <w:num w:numId="4">
    <w:abstractNumId w:val="16"/>
  </w:num>
  <w:num w:numId="5">
    <w:abstractNumId w:val="18"/>
  </w:num>
  <w:num w:numId="6">
    <w:abstractNumId w:val="26"/>
  </w:num>
  <w:num w:numId="7">
    <w:abstractNumId w:val="10"/>
  </w:num>
  <w:num w:numId="8">
    <w:abstractNumId w:val="12"/>
  </w:num>
  <w:num w:numId="9">
    <w:abstractNumId w:val="25"/>
  </w:num>
  <w:num w:numId="10">
    <w:abstractNumId w:val="4"/>
  </w:num>
  <w:num w:numId="11">
    <w:abstractNumId w:val="15"/>
  </w:num>
  <w:num w:numId="12">
    <w:abstractNumId w:val="24"/>
  </w:num>
  <w:num w:numId="13">
    <w:abstractNumId w:val="27"/>
  </w:num>
  <w:num w:numId="14">
    <w:abstractNumId w:val="0"/>
  </w:num>
  <w:num w:numId="15">
    <w:abstractNumId w:val="6"/>
  </w:num>
  <w:num w:numId="16">
    <w:abstractNumId w:val="2"/>
  </w:num>
  <w:num w:numId="17">
    <w:abstractNumId w:val="13"/>
  </w:num>
  <w:num w:numId="18">
    <w:abstractNumId w:val="8"/>
  </w:num>
  <w:num w:numId="19">
    <w:abstractNumId w:val="23"/>
  </w:num>
  <w:num w:numId="20">
    <w:abstractNumId w:val="22"/>
  </w:num>
  <w:num w:numId="21">
    <w:abstractNumId w:val="9"/>
  </w:num>
  <w:num w:numId="22">
    <w:abstractNumId w:val="3"/>
  </w:num>
  <w:num w:numId="23">
    <w:abstractNumId w:val="14"/>
  </w:num>
  <w:num w:numId="24">
    <w:abstractNumId w:val="1"/>
  </w:num>
  <w:num w:numId="25">
    <w:abstractNumId w:val="7"/>
  </w:num>
  <w:num w:numId="26">
    <w:abstractNumId w:val="11"/>
  </w:num>
  <w:num w:numId="27">
    <w:abstractNumId w:val="1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50"/>
    <w:rsid w:val="000000D2"/>
    <w:rsid w:val="00012AE2"/>
    <w:rsid w:val="00021390"/>
    <w:rsid w:val="00124D73"/>
    <w:rsid w:val="0013069B"/>
    <w:rsid w:val="001D7912"/>
    <w:rsid w:val="001E2454"/>
    <w:rsid w:val="0024336E"/>
    <w:rsid w:val="00355C33"/>
    <w:rsid w:val="00376555"/>
    <w:rsid w:val="003E4FDF"/>
    <w:rsid w:val="0041587D"/>
    <w:rsid w:val="004D33B0"/>
    <w:rsid w:val="00597F66"/>
    <w:rsid w:val="00603843"/>
    <w:rsid w:val="006F1B64"/>
    <w:rsid w:val="00703BD6"/>
    <w:rsid w:val="00717264"/>
    <w:rsid w:val="00764300"/>
    <w:rsid w:val="00772DCC"/>
    <w:rsid w:val="00796472"/>
    <w:rsid w:val="007C2AE3"/>
    <w:rsid w:val="007E0876"/>
    <w:rsid w:val="007F6004"/>
    <w:rsid w:val="008420D0"/>
    <w:rsid w:val="008676C2"/>
    <w:rsid w:val="008718EF"/>
    <w:rsid w:val="008F52C7"/>
    <w:rsid w:val="00905AF1"/>
    <w:rsid w:val="009C252B"/>
    <w:rsid w:val="009F75C4"/>
    <w:rsid w:val="00A36FC6"/>
    <w:rsid w:val="00A719E0"/>
    <w:rsid w:val="00A770E0"/>
    <w:rsid w:val="00A807FA"/>
    <w:rsid w:val="00A93685"/>
    <w:rsid w:val="00A94813"/>
    <w:rsid w:val="00AB4C38"/>
    <w:rsid w:val="00AC70AB"/>
    <w:rsid w:val="00AF5D9C"/>
    <w:rsid w:val="00B80501"/>
    <w:rsid w:val="00B90B8C"/>
    <w:rsid w:val="00BF5FAD"/>
    <w:rsid w:val="00C17524"/>
    <w:rsid w:val="00C774C0"/>
    <w:rsid w:val="00C814D8"/>
    <w:rsid w:val="00C83B50"/>
    <w:rsid w:val="00C93B1D"/>
    <w:rsid w:val="00C95FFC"/>
    <w:rsid w:val="00D3476B"/>
    <w:rsid w:val="00D72871"/>
    <w:rsid w:val="00DE28A0"/>
    <w:rsid w:val="00E06F7D"/>
    <w:rsid w:val="00E95550"/>
    <w:rsid w:val="00EB28B5"/>
    <w:rsid w:val="00EF17EF"/>
    <w:rsid w:val="00F04833"/>
    <w:rsid w:val="00F81E65"/>
    <w:rsid w:val="00F9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B50"/>
    <w:pPr>
      <w:spacing w:after="0" w:line="240" w:lineRule="auto"/>
      <w:ind w:left="720"/>
      <w:contextualSpacing/>
    </w:pPr>
    <w:rPr>
      <w:rFonts w:ascii="Cambria" w:eastAsia="Cambria" w:hAnsi="Cambria" w:cs="Times New Roman"/>
      <w:sz w:val="24"/>
      <w:szCs w:val="24"/>
    </w:rPr>
  </w:style>
  <w:style w:type="paragraph" w:styleId="BodyText">
    <w:name w:val="Body Text"/>
    <w:basedOn w:val="Normal"/>
    <w:link w:val="BodyTextChar"/>
    <w:rsid w:val="00C83B50"/>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83B50"/>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C83B5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C83B50"/>
    <w:rPr>
      <w:rFonts w:ascii="Calibri" w:eastAsia="Calibri" w:hAnsi="Calibri" w:cs="Times New Roman"/>
      <w:sz w:val="20"/>
      <w:szCs w:val="20"/>
    </w:rPr>
  </w:style>
  <w:style w:type="character" w:styleId="FootnoteReference">
    <w:name w:val="footnote reference"/>
    <w:basedOn w:val="DefaultParagraphFont"/>
    <w:semiHidden/>
    <w:unhideWhenUsed/>
    <w:rsid w:val="00C83B50"/>
    <w:rPr>
      <w:vertAlign w:val="superscript"/>
    </w:rPr>
  </w:style>
  <w:style w:type="paragraph" w:styleId="EndnoteText">
    <w:name w:val="endnote text"/>
    <w:basedOn w:val="Normal"/>
    <w:link w:val="EndnoteTextChar"/>
    <w:uiPriority w:val="99"/>
    <w:semiHidden/>
    <w:unhideWhenUsed/>
    <w:rsid w:val="00C83B50"/>
    <w:pPr>
      <w:spacing w:after="0" w:line="240" w:lineRule="auto"/>
      <w:ind w:firstLine="720"/>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C83B5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83B50"/>
    <w:rPr>
      <w:vertAlign w:val="superscript"/>
    </w:rPr>
  </w:style>
  <w:style w:type="paragraph" w:styleId="Header">
    <w:name w:val="header"/>
    <w:basedOn w:val="Normal"/>
    <w:link w:val="HeaderChar"/>
    <w:uiPriority w:val="99"/>
    <w:unhideWhenUsed/>
    <w:rsid w:val="00C77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4C0"/>
  </w:style>
  <w:style w:type="paragraph" w:styleId="Footer">
    <w:name w:val="footer"/>
    <w:basedOn w:val="Normal"/>
    <w:link w:val="FooterChar"/>
    <w:uiPriority w:val="99"/>
    <w:unhideWhenUsed/>
    <w:rsid w:val="00C77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4C0"/>
  </w:style>
  <w:style w:type="table" w:styleId="TableGrid">
    <w:name w:val="Table Grid"/>
    <w:basedOn w:val="TableNormal"/>
    <w:uiPriority w:val="59"/>
    <w:rsid w:val="00355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95FFC"/>
    <w:rPr>
      <w:strike w:val="0"/>
      <w:dstrike w:val="0"/>
      <w:color w:val="145DA4"/>
      <w:u w:val="none"/>
      <w:effect w:val="none"/>
    </w:rPr>
  </w:style>
  <w:style w:type="character" w:customStyle="1" w:styleId="cosearchterm7">
    <w:name w:val="co_searchterm7"/>
    <w:basedOn w:val="DefaultParagraphFont"/>
    <w:rsid w:val="00C95FFC"/>
    <w:rPr>
      <w:b/>
      <w:bCs/>
      <w:color w:val="2525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B50"/>
    <w:pPr>
      <w:spacing w:after="0" w:line="240" w:lineRule="auto"/>
      <w:ind w:left="720"/>
      <w:contextualSpacing/>
    </w:pPr>
    <w:rPr>
      <w:rFonts w:ascii="Cambria" w:eastAsia="Cambria" w:hAnsi="Cambria" w:cs="Times New Roman"/>
      <w:sz w:val="24"/>
      <w:szCs w:val="24"/>
    </w:rPr>
  </w:style>
  <w:style w:type="paragraph" w:styleId="BodyText">
    <w:name w:val="Body Text"/>
    <w:basedOn w:val="Normal"/>
    <w:link w:val="BodyTextChar"/>
    <w:rsid w:val="00C83B50"/>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83B50"/>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C83B5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C83B50"/>
    <w:rPr>
      <w:rFonts w:ascii="Calibri" w:eastAsia="Calibri" w:hAnsi="Calibri" w:cs="Times New Roman"/>
      <w:sz w:val="20"/>
      <w:szCs w:val="20"/>
    </w:rPr>
  </w:style>
  <w:style w:type="character" w:styleId="FootnoteReference">
    <w:name w:val="footnote reference"/>
    <w:basedOn w:val="DefaultParagraphFont"/>
    <w:semiHidden/>
    <w:unhideWhenUsed/>
    <w:rsid w:val="00C83B50"/>
    <w:rPr>
      <w:vertAlign w:val="superscript"/>
    </w:rPr>
  </w:style>
  <w:style w:type="paragraph" w:styleId="EndnoteText">
    <w:name w:val="endnote text"/>
    <w:basedOn w:val="Normal"/>
    <w:link w:val="EndnoteTextChar"/>
    <w:uiPriority w:val="99"/>
    <w:semiHidden/>
    <w:unhideWhenUsed/>
    <w:rsid w:val="00C83B50"/>
    <w:pPr>
      <w:spacing w:after="0" w:line="240" w:lineRule="auto"/>
      <w:ind w:firstLine="720"/>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C83B5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83B50"/>
    <w:rPr>
      <w:vertAlign w:val="superscript"/>
    </w:rPr>
  </w:style>
  <w:style w:type="paragraph" w:styleId="Header">
    <w:name w:val="header"/>
    <w:basedOn w:val="Normal"/>
    <w:link w:val="HeaderChar"/>
    <w:uiPriority w:val="99"/>
    <w:unhideWhenUsed/>
    <w:rsid w:val="00C77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4C0"/>
  </w:style>
  <w:style w:type="paragraph" w:styleId="Footer">
    <w:name w:val="footer"/>
    <w:basedOn w:val="Normal"/>
    <w:link w:val="FooterChar"/>
    <w:uiPriority w:val="99"/>
    <w:unhideWhenUsed/>
    <w:rsid w:val="00C77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4C0"/>
  </w:style>
  <w:style w:type="table" w:styleId="TableGrid">
    <w:name w:val="Table Grid"/>
    <w:basedOn w:val="TableNormal"/>
    <w:uiPriority w:val="59"/>
    <w:rsid w:val="00355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95FFC"/>
    <w:rPr>
      <w:strike w:val="0"/>
      <w:dstrike w:val="0"/>
      <w:color w:val="145DA4"/>
      <w:u w:val="none"/>
      <w:effect w:val="none"/>
    </w:rPr>
  </w:style>
  <w:style w:type="character" w:customStyle="1" w:styleId="cosearchterm7">
    <w:name w:val="co_searchterm7"/>
    <w:basedOn w:val="DefaultParagraphFont"/>
    <w:rsid w:val="00C95FFC"/>
    <w:rPr>
      <w:b/>
      <w:bCs/>
      <w:color w:val="2525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07539">
      <w:bodyDiv w:val="1"/>
      <w:marLeft w:val="0"/>
      <w:marRight w:val="0"/>
      <w:marTop w:val="0"/>
      <w:marBottom w:val="0"/>
      <w:divBdr>
        <w:top w:val="none" w:sz="0" w:space="0" w:color="auto"/>
        <w:left w:val="none" w:sz="0" w:space="0" w:color="auto"/>
        <w:bottom w:val="none" w:sz="0" w:space="0" w:color="auto"/>
        <w:right w:val="none" w:sz="0" w:space="0" w:color="auto"/>
      </w:divBdr>
      <w:divsChild>
        <w:div w:id="191497898">
          <w:marLeft w:val="0"/>
          <w:marRight w:val="0"/>
          <w:marTop w:val="0"/>
          <w:marBottom w:val="0"/>
          <w:divBdr>
            <w:top w:val="none" w:sz="0" w:space="0" w:color="auto"/>
            <w:left w:val="single" w:sz="6" w:space="0" w:color="BBBBBB"/>
            <w:bottom w:val="single" w:sz="6" w:space="0" w:color="BBBBBB"/>
            <w:right w:val="single" w:sz="6" w:space="0" w:color="BBBBBB"/>
          </w:divBdr>
          <w:divsChild>
            <w:div w:id="2009094571">
              <w:marLeft w:val="0"/>
              <w:marRight w:val="0"/>
              <w:marTop w:val="0"/>
              <w:marBottom w:val="0"/>
              <w:divBdr>
                <w:top w:val="none" w:sz="0" w:space="0" w:color="auto"/>
                <w:left w:val="none" w:sz="0" w:space="0" w:color="auto"/>
                <w:bottom w:val="none" w:sz="0" w:space="0" w:color="auto"/>
                <w:right w:val="none" w:sz="0" w:space="0" w:color="auto"/>
              </w:divBdr>
              <w:divsChild>
                <w:div w:id="440076859">
                  <w:marLeft w:val="0"/>
                  <w:marRight w:val="0"/>
                  <w:marTop w:val="0"/>
                  <w:marBottom w:val="0"/>
                  <w:divBdr>
                    <w:top w:val="none" w:sz="0" w:space="0" w:color="auto"/>
                    <w:left w:val="none" w:sz="0" w:space="0" w:color="auto"/>
                    <w:bottom w:val="none" w:sz="0" w:space="0" w:color="auto"/>
                    <w:right w:val="none" w:sz="0" w:space="0" w:color="auto"/>
                  </w:divBdr>
                  <w:divsChild>
                    <w:div w:id="1725325736">
                      <w:marLeft w:val="0"/>
                      <w:marRight w:val="0"/>
                      <w:marTop w:val="0"/>
                      <w:marBottom w:val="0"/>
                      <w:divBdr>
                        <w:top w:val="none" w:sz="0" w:space="0" w:color="auto"/>
                        <w:left w:val="none" w:sz="0" w:space="0" w:color="auto"/>
                        <w:bottom w:val="none" w:sz="0" w:space="0" w:color="auto"/>
                        <w:right w:val="none" w:sz="0" w:space="0" w:color="auto"/>
                      </w:divBdr>
                      <w:divsChild>
                        <w:div w:id="640185201">
                          <w:marLeft w:val="0"/>
                          <w:marRight w:val="0"/>
                          <w:marTop w:val="0"/>
                          <w:marBottom w:val="0"/>
                          <w:divBdr>
                            <w:top w:val="none" w:sz="0" w:space="0" w:color="auto"/>
                            <w:left w:val="none" w:sz="0" w:space="0" w:color="auto"/>
                            <w:bottom w:val="none" w:sz="0" w:space="0" w:color="auto"/>
                            <w:right w:val="none" w:sz="0" w:space="0" w:color="auto"/>
                          </w:divBdr>
                          <w:divsChild>
                            <w:div w:id="1265728228">
                              <w:marLeft w:val="0"/>
                              <w:marRight w:val="0"/>
                              <w:marTop w:val="0"/>
                              <w:marBottom w:val="0"/>
                              <w:divBdr>
                                <w:top w:val="none" w:sz="0" w:space="0" w:color="auto"/>
                                <w:left w:val="none" w:sz="0" w:space="0" w:color="auto"/>
                                <w:bottom w:val="none" w:sz="0" w:space="0" w:color="auto"/>
                                <w:right w:val="none" w:sz="0" w:space="0" w:color="auto"/>
                              </w:divBdr>
                              <w:divsChild>
                                <w:div w:id="1520117177">
                                  <w:marLeft w:val="0"/>
                                  <w:marRight w:val="0"/>
                                  <w:marTop w:val="0"/>
                                  <w:marBottom w:val="0"/>
                                  <w:divBdr>
                                    <w:top w:val="none" w:sz="0" w:space="0" w:color="auto"/>
                                    <w:left w:val="none" w:sz="0" w:space="0" w:color="auto"/>
                                    <w:bottom w:val="none" w:sz="0" w:space="0" w:color="auto"/>
                                    <w:right w:val="none" w:sz="0" w:space="0" w:color="auto"/>
                                  </w:divBdr>
                                  <w:divsChild>
                                    <w:div w:id="2080130942">
                                      <w:marLeft w:val="0"/>
                                      <w:marRight w:val="0"/>
                                      <w:marTop w:val="0"/>
                                      <w:marBottom w:val="0"/>
                                      <w:divBdr>
                                        <w:top w:val="none" w:sz="0" w:space="0" w:color="auto"/>
                                        <w:left w:val="none" w:sz="0" w:space="0" w:color="auto"/>
                                        <w:bottom w:val="none" w:sz="0" w:space="0" w:color="auto"/>
                                        <w:right w:val="none" w:sz="0" w:space="0" w:color="auto"/>
                                      </w:divBdr>
                                      <w:divsChild>
                                        <w:div w:id="1165585112">
                                          <w:marLeft w:val="1200"/>
                                          <w:marRight w:val="1200"/>
                                          <w:marTop w:val="0"/>
                                          <w:marBottom w:val="0"/>
                                          <w:divBdr>
                                            <w:top w:val="none" w:sz="0" w:space="0" w:color="auto"/>
                                            <w:left w:val="none" w:sz="0" w:space="0" w:color="auto"/>
                                            <w:bottom w:val="none" w:sz="0" w:space="0" w:color="auto"/>
                                            <w:right w:val="none" w:sz="0" w:space="0" w:color="auto"/>
                                          </w:divBdr>
                                          <w:divsChild>
                                            <w:div w:id="981008913">
                                              <w:marLeft w:val="0"/>
                                              <w:marRight w:val="0"/>
                                              <w:marTop w:val="0"/>
                                              <w:marBottom w:val="0"/>
                                              <w:divBdr>
                                                <w:top w:val="none" w:sz="0" w:space="0" w:color="auto"/>
                                                <w:left w:val="none" w:sz="0" w:space="0" w:color="auto"/>
                                                <w:bottom w:val="none" w:sz="0" w:space="0" w:color="auto"/>
                                                <w:right w:val="none" w:sz="0" w:space="0" w:color="auto"/>
                                              </w:divBdr>
                                              <w:divsChild>
                                                <w:div w:id="1698045455">
                                                  <w:marLeft w:val="0"/>
                                                  <w:marRight w:val="0"/>
                                                  <w:marTop w:val="0"/>
                                                  <w:marBottom w:val="0"/>
                                                  <w:divBdr>
                                                    <w:top w:val="none" w:sz="0" w:space="0" w:color="auto"/>
                                                    <w:left w:val="none" w:sz="0" w:space="0" w:color="auto"/>
                                                    <w:bottom w:val="none" w:sz="0" w:space="0" w:color="auto"/>
                                                    <w:right w:val="none" w:sz="0" w:space="0" w:color="auto"/>
                                                  </w:divBdr>
                                                  <w:divsChild>
                                                    <w:div w:id="857624761">
                                                      <w:marLeft w:val="0"/>
                                                      <w:marRight w:val="0"/>
                                                      <w:marTop w:val="0"/>
                                                      <w:marBottom w:val="0"/>
                                                      <w:divBdr>
                                                        <w:top w:val="none" w:sz="0" w:space="0" w:color="auto"/>
                                                        <w:left w:val="none" w:sz="0" w:space="0" w:color="auto"/>
                                                        <w:bottom w:val="none" w:sz="0" w:space="0" w:color="auto"/>
                                                        <w:right w:val="none" w:sz="0" w:space="0" w:color="auto"/>
                                                      </w:divBdr>
                                                      <w:divsChild>
                                                        <w:div w:id="1086000557">
                                                          <w:marLeft w:val="0"/>
                                                          <w:marRight w:val="0"/>
                                                          <w:marTop w:val="0"/>
                                                          <w:marBottom w:val="0"/>
                                                          <w:divBdr>
                                                            <w:top w:val="none" w:sz="0" w:space="0" w:color="auto"/>
                                                            <w:left w:val="none" w:sz="0" w:space="0" w:color="auto"/>
                                                            <w:bottom w:val="none" w:sz="0" w:space="0" w:color="auto"/>
                                                            <w:right w:val="none" w:sz="0" w:space="0" w:color="auto"/>
                                                          </w:divBdr>
                                                          <w:divsChild>
                                                            <w:div w:id="1442989506">
                                                              <w:marLeft w:val="0"/>
                                                              <w:marRight w:val="0"/>
                                                              <w:marTop w:val="0"/>
                                                              <w:marBottom w:val="0"/>
                                                              <w:divBdr>
                                                                <w:top w:val="none" w:sz="0" w:space="0" w:color="auto"/>
                                                                <w:left w:val="none" w:sz="0" w:space="0" w:color="auto"/>
                                                                <w:bottom w:val="none" w:sz="0" w:space="0" w:color="auto"/>
                                                                <w:right w:val="none" w:sz="0" w:space="0" w:color="auto"/>
                                                              </w:divBdr>
                                                              <w:divsChild>
                                                                <w:div w:id="1913273524">
                                                                  <w:marLeft w:val="0"/>
                                                                  <w:marRight w:val="0"/>
                                                                  <w:marTop w:val="0"/>
                                                                  <w:marBottom w:val="0"/>
                                                                  <w:divBdr>
                                                                    <w:top w:val="none" w:sz="0" w:space="0" w:color="auto"/>
                                                                    <w:left w:val="none" w:sz="0" w:space="0" w:color="auto"/>
                                                                    <w:bottom w:val="none" w:sz="0" w:space="0" w:color="auto"/>
                                                                    <w:right w:val="none" w:sz="0" w:space="0" w:color="auto"/>
                                                                  </w:divBdr>
                                                                  <w:divsChild>
                                                                    <w:div w:id="1340044684">
                                                                      <w:marLeft w:val="0"/>
                                                                      <w:marRight w:val="0"/>
                                                                      <w:marTop w:val="0"/>
                                                                      <w:marBottom w:val="0"/>
                                                                      <w:divBdr>
                                                                        <w:top w:val="none" w:sz="0" w:space="0" w:color="auto"/>
                                                                        <w:left w:val="none" w:sz="0" w:space="0" w:color="auto"/>
                                                                        <w:bottom w:val="none" w:sz="0" w:space="0" w:color="auto"/>
                                                                        <w:right w:val="none" w:sz="0" w:space="0" w:color="auto"/>
                                                                      </w:divBdr>
                                                                      <w:divsChild>
                                                                        <w:div w:id="1601134334">
                                                                          <w:marLeft w:val="0"/>
                                                                          <w:marRight w:val="0"/>
                                                                          <w:marTop w:val="0"/>
                                                                          <w:marBottom w:val="0"/>
                                                                          <w:divBdr>
                                                                            <w:top w:val="none" w:sz="0" w:space="0" w:color="auto"/>
                                                                            <w:left w:val="none" w:sz="0" w:space="0" w:color="auto"/>
                                                                            <w:bottom w:val="none" w:sz="0" w:space="0" w:color="auto"/>
                                                                            <w:right w:val="none" w:sz="0" w:space="0" w:color="auto"/>
                                                                          </w:divBdr>
                                                                        </w:div>
                                                                      </w:divsChild>
                                                                    </w:div>
                                                                    <w:div w:id="255404985">
                                                                      <w:marLeft w:val="0"/>
                                                                      <w:marRight w:val="0"/>
                                                                      <w:marTop w:val="0"/>
                                                                      <w:marBottom w:val="0"/>
                                                                      <w:divBdr>
                                                                        <w:top w:val="none" w:sz="0" w:space="0" w:color="auto"/>
                                                                        <w:left w:val="none" w:sz="0" w:space="0" w:color="auto"/>
                                                                        <w:bottom w:val="none" w:sz="0" w:space="0" w:color="auto"/>
                                                                        <w:right w:val="none" w:sz="0" w:space="0" w:color="auto"/>
                                                                      </w:divBdr>
                                                                      <w:divsChild>
                                                                        <w:div w:id="9228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046130">
      <w:bodyDiv w:val="1"/>
      <w:marLeft w:val="0"/>
      <w:marRight w:val="0"/>
      <w:marTop w:val="0"/>
      <w:marBottom w:val="0"/>
      <w:divBdr>
        <w:top w:val="none" w:sz="0" w:space="0" w:color="auto"/>
        <w:left w:val="none" w:sz="0" w:space="0" w:color="auto"/>
        <w:bottom w:val="none" w:sz="0" w:space="0" w:color="auto"/>
        <w:right w:val="none" w:sz="0" w:space="0" w:color="auto"/>
      </w:divBdr>
      <w:divsChild>
        <w:div w:id="1487434785">
          <w:marLeft w:val="0"/>
          <w:marRight w:val="0"/>
          <w:marTop w:val="0"/>
          <w:marBottom w:val="0"/>
          <w:divBdr>
            <w:top w:val="none" w:sz="0" w:space="0" w:color="auto"/>
            <w:left w:val="single" w:sz="6" w:space="0" w:color="BBBBBB"/>
            <w:bottom w:val="single" w:sz="6" w:space="0" w:color="BBBBBB"/>
            <w:right w:val="single" w:sz="6" w:space="0" w:color="BBBBBB"/>
          </w:divBdr>
          <w:divsChild>
            <w:div w:id="1748653958">
              <w:marLeft w:val="0"/>
              <w:marRight w:val="0"/>
              <w:marTop w:val="0"/>
              <w:marBottom w:val="0"/>
              <w:divBdr>
                <w:top w:val="none" w:sz="0" w:space="0" w:color="auto"/>
                <w:left w:val="none" w:sz="0" w:space="0" w:color="auto"/>
                <w:bottom w:val="none" w:sz="0" w:space="0" w:color="auto"/>
                <w:right w:val="none" w:sz="0" w:space="0" w:color="auto"/>
              </w:divBdr>
              <w:divsChild>
                <w:div w:id="59375912">
                  <w:marLeft w:val="0"/>
                  <w:marRight w:val="0"/>
                  <w:marTop w:val="0"/>
                  <w:marBottom w:val="0"/>
                  <w:divBdr>
                    <w:top w:val="none" w:sz="0" w:space="0" w:color="auto"/>
                    <w:left w:val="none" w:sz="0" w:space="0" w:color="auto"/>
                    <w:bottom w:val="none" w:sz="0" w:space="0" w:color="auto"/>
                    <w:right w:val="none" w:sz="0" w:space="0" w:color="auto"/>
                  </w:divBdr>
                  <w:divsChild>
                    <w:div w:id="255285484">
                      <w:marLeft w:val="0"/>
                      <w:marRight w:val="0"/>
                      <w:marTop w:val="0"/>
                      <w:marBottom w:val="0"/>
                      <w:divBdr>
                        <w:top w:val="none" w:sz="0" w:space="0" w:color="auto"/>
                        <w:left w:val="none" w:sz="0" w:space="0" w:color="auto"/>
                        <w:bottom w:val="none" w:sz="0" w:space="0" w:color="auto"/>
                        <w:right w:val="none" w:sz="0" w:space="0" w:color="auto"/>
                      </w:divBdr>
                      <w:divsChild>
                        <w:div w:id="422530574">
                          <w:marLeft w:val="0"/>
                          <w:marRight w:val="0"/>
                          <w:marTop w:val="0"/>
                          <w:marBottom w:val="0"/>
                          <w:divBdr>
                            <w:top w:val="none" w:sz="0" w:space="0" w:color="auto"/>
                            <w:left w:val="none" w:sz="0" w:space="0" w:color="auto"/>
                            <w:bottom w:val="none" w:sz="0" w:space="0" w:color="auto"/>
                            <w:right w:val="none" w:sz="0" w:space="0" w:color="auto"/>
                          </w:divBdr>
                          <w:divsChild>
                            <w:div w:id="544682278">
                              <w:marLeft w:val="0"/>
                              <w:marRight w:val="0"/>
                              <w:marTop w:val="0"/>
                              <w:marBottom w:val="0"/>
                              <w:divBdr>
                                <w:top w:val="none" w:sz="0" w:space="0" w:color="auto"/>
                                <w:left w:val="none" w:sz="0" w:space="0" w:color="auto"/>
                                <w:bottom w:val="none" w:sz="0" w:space="0" w:color="auto"/>
                                <w:right w:val="none" w:sz="0" w:space="0" w:color="auto"/>
                              </w:divBdr>
                              <w:divsChild>
                                <w:div w:id="1606114575">
                                  <w:marLeft w:val="0"/>
                                  <w:marRight w:val="0"/>
                                  <w:marTop w:val="0"/>
                                  <w:marBottom w:val="0"/>
                                  <w:divBdr>
                                    <w:top w:val="none" w:sz="0" w:space="0" w:color="auto"/>
                                    <w:left w:val="none" w:sz="0" w:space="0" w:color="auto"/>
                                    <w:bottom w:val="none" w:sz="0" w:space="0" w:color="auto"/>
                                    <w:right w:val="none" w:sz="0" w:space="0" w:color="auto"/>
                                  </w:divBdr>
                                  <w:divsChild>
                                    <w:div w:id="1483958966">
                                      <w:marLeft w:val="0"/>
                                      <w:marRight w:val="0"/>
                                      <w:marTop w:val="0"/>
                                      <w:marBottom w:val="0"/>
                                      <w:divBdr>
                                        <w:top w:val="none" w:sz="0" w:space="0" w:color="auto"/>
                                        <w:left w:val="none" w:sz="0" w:space="0" w:color="auto"/>
                                        <w:bottom w:val="none" w:sz="0" w:space="0" w:color="auto"/>
                                        <w:right w:val="none" w:sz="0" w:space="0" w:color="auto"/>
                                      </w:divBdr>
                                      <w:divsChild>
                                        <w:div w:id="1282807618">
                                          <w:marLeft w:val="1200"/>
                                          <w:marRight w:val="1200"/>
                                          <w:marTop w:val="0"/>
                                          <w:marBottom w:val="0"/>
                                          <w:divBdr>
                                            <w:top w:val="none" w:sz="0" w:space="0" w:color="auto"/>
                                            <w:left w:val="none" w:sz="0" w:space="0" w:color="auto"/>
                                            <w:bottom w:val="none" w:sz="0" w:space="0" w:color="auto"/>
                                            <w:right w:val="none" w:sz="0" w:space="0" w:color="auto"/>
                                          </w:divBdr>
                                          <w:divsChild>
                                            <w:div w:id="1534919392">
                                              <w:marLeft w:val="0"/>
                                              <w:marRight w:val="0"/>
                                              <w:marTop w:val="0"/>
                                              <w:marBottom w:val="0"/>
                                              <w:divBdr>
                                                <w:top w:val="none" w:sz="0" w:space="0" w:color="auto"/>
                                                <w:left w:val="none" w:sz="0" w:space="0" w:color="auto"/>
                                                <w:bottom w:val="none" w:sz="0" w:space="0" w:color="auto"/>
                                                <w:right w:val="none" w:sz="0" w:space="0" w:color="auto"/>
                                              </w:divBdr>
                                              <w:divsChild>
                                                <w:div w:id="1830056747">
                                                  <w:marLeft w:val="0"/>
                                                  <w:marRight w:val="0"/>
                                                  <w:marTop w:val="240"/>
                                                  <w:marBottom w:val="0"/>
                                                  <w:divBdr>
                                                    <w:top w:val="none" w:sz="0" w:space="0" w:color="auto"/>
                                                    <w:left w:val="none" w:sz="0" w:space="0" w:color="auto"/>
                                                    <w:bottom w:val="none" w:sz="0" w:space="0" w:color="auto"/>
                                                    <w:right w:val="none" w:sz="0" w:space="0" w:color="auto"/>
                                                  </w:divBdr>
                                                  <w:divsChild>
                                                    <w:div w:id="1320813411">
                                                      <w:marLeft w:val="0"/>
                                                      <w:marRight w:val="0"/>
                                                      <w:marTop w:val="0"/>
                                                      <w:marBottom w:val="0"/>
                                                      <w:divBdr>
                                                        <w:top w:val="none" w:sz="0" w:space="0" w:color="auto"/>
                                                        <w:left w:val="none" w:sz="0" w:space="0" w:color="auto"/>
                                                        <w:bottom w:val="none" w:sz="0" w:space="0" w:color="auto"/>
                                                        <w:right w:val="none" w:sz="0" w:space="0" w:color="auto"/>
                                                      </w:divBdr>
                                                      <w:divsChild>
                                                        <w:div w:id="2102142961">
                                                          <w:marLeft w:val="1275"/>
                                                          <w:marRight w:val="0"/>
                                                          <w:marTop w:val="0"/>
                                                          <w:marBottom w:val="0"/>
                                                          <w:divBdr>
                                                            <w:top w:val="none" w:sz="0" w:space="0" w:color="auto"/>
                                                            <w:left w:val="none" w:sz="0" w:space="0" w:color="auto"/>
                                                            <w:bottom w:val="none" w:sz="0" w:space="0" w:color="auto"/>
                                                            <w:right w:val="none" w:sz="0" w:space="0" w:color="auto"/>
                                                          </w:divBdr>
                                                          <w:divsChild>
                                                            <w:div w:id="1171220464">
                                                              <w:marLeft w:val="0"/>
                                                              <w:marRight w:val="0"/>
                                                              <w:marTop w:val="0"/>
                                                              <w:marBottom w:val="0"/>
                                                              <w:divBdr>
                                                                <w:top w:val="none" w:sz="0" w:space="0" w:color="auto"/>
                                                                <w:left w:val="none" w:sz="0" w:space="0" w:color="auto"/>
                                                                <w:bottom w:val="none" w:sz="0" w:space="0" w:color="auto"/>
                                                                <w:right w:val="none" w:sz="0" w:space="0" w:color="auto"/>
                                                              </w:divBdr>
                                                              <w:divsChild>
                                                                <w:div w:id="3552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985256">
      <w:bodyDiv w:val="1"/>
      <w:marLeft w:val="0"/>
      <w:marRight w:val="0"/>
      <w:marTop w:val="0"/>
      <w:marBottom w:val="0"/>
      <w:divBdr>
        <w:top w:val="none" w:sz="0" w:space="0" w:color="auto"/>
        <w:left w:val="none" w:sz="0" w:space="0" w:color="auto"/>
        <w:bottom w:val="none" w:sz="0" w:space="0" w:color="auto"/>
        <w:right w:val="none" w:sz="0" w:space="0" w:color="auto"/>
      </w:divBdr>
      <w:divsChild>
        <w:div w:id="2107529368">
          <w:marLeft w:val="0"/>
          <w:marRight w:val="0"/>
          <w:marTop w:val="0"/>
          <w:marBottom w:val="0"/>
          <w:divBdr>
            <w:top w:val="none" w:sz="0" w:space="0" w:color="auto"/>
            <w:left w:val="single" w:sz="6" w:space="0" w:color="BBBBBB"/>
            <w:bottom w:val="single" w:sz="6" w:space="0" w:color="BBBBBB"/>
            <w:right w:val="single" w:sz="6" w:space="0" w:color="BBBBBB"/>
          </w:divBdr>
          <w:divsChild>
            <w:div w:id="1266235546">
              <w:marLeft w:val="0"/>
              <w:marRight w:val="0"/>
              <w:marTop w:val="0"/>
              <w:marBottom w:val="0"/>
              <w:divBdr>
                <w:top w:val="none" w:sz="0" w:space="0" w:color="auto"/>
                <w:left w:val="none" w:sz="0" w:space="0" w:color="auto"/>
                <w:bottom w:val="none" w:sz="0" w:space="0" w:color="auto"/>
                <w:right w:val="none" w:sz="0" w:space="0" w:color="auto"/>
              </w:divBdr>
              <w:divsChild>
                <w:div w:id="1084760121">
                  <w:marLeft w:val="0"/>
                  <w:marRight w:val="0"/>
                  <w:marTop w:val="0"/>
                  <w:marBottom w:val="0"/>
                  <w:divBdr>
                    <w:top w:val="none" w:sz="0" w:space="0" w:color="auto"/>
                    <w:left w:val="none" w:sz="0" w:space="0" w:color="auto"/>
                    <w:bottom w:val="none" w:sz="0" w:space="0" w:color="auto"/>
                    <w:right w:val="none" w:sz="0" w:space="0" w:color="auto"/>
                  </w:divBdr>
                  <w:divsChild>
                    <w:div w:id="1314211716">
                      <w:marLeft w:val="0"/>
                      <w:marRight w:val="0"/>
                      <w:marTop w:val="0"/>
                      <w:marBottom w:val="0"/>
                      <w:divBdr>
                        <w:top w:val="none" w:sz="0" w:space="0" w:color="auto"/>
                        <w:left w:val="none" w:sz="0" w:space="0" w:color="auto"/>
                        <w:bottom w:val="none" w:sz="0" w:space="0" w:color="auto"/>
                        <w:right w:val="none" w:sz="0" w:space="0" w:color="auto"/>
                      </w:divBdr>
                      <w:divsChild>
                        <w:div w:id="489906558">
                          <w:marLeft w:val="0"/>
                          <w:marRight w:val="0"/>
                          <w:marTop w:val="0"/>
                          <w:marBottom w:val="0"/>
                          <w:divBdr>
                            <w:top w:val="none" w:sz="0" w:space="0" w:color="auto"/>
                            <w:left w:val="none" w:sz="0" w:space="0" w:color="auto"/>
                            <w:bottom w:val="none" w:sz="0" w:space="0" w:color="auto"/>
                            <w:right w:val="none" w:sz="0" w:space="0" w:color="auto"/>
                          </w:divBdr>
                          <w:divsChild>
                            <w:div w:id="1855726065">
                              <w:marLeft w:val="0"/>
                              <w:marRight w:val="0"/>
                              <w:marTop w:val="0"/>
                              <w:marBottom w:val="0"/>
                              <w:divBdr>
                                <w:top w:val="none" w:sz="0" w:space="0" w:color="auto"/>
                                <w:left w:val="none" w:sz="0" w:space="0" w:color="auto"/>
                                <w:bottom w:val="none" w:sz="0" w:space="0" w:color="auto"/>
                                <w:right w:val="none" w:sz="0" w:space="0" w:color="auto"/>
                              </w:divBdr>
                              <w:divsChild>
                                <w:div w:id="1909144273">
                                  <w:marLeft w:val="0"/>
                                  <w:marRight w:val="0"/>
                                  <w:marTop w:val="0"/>
                                  <w:marBottom w:val="0"/>
                                  <w:divBdr>
                                    <w:top w:val="none" w:sz="0" w:space="0" w:color="auto"/>
                                    <w:left w:val="none" w:sz="0" w:space="0" w:color="auto"/>
                                    <w:bottom w:val="none" w:sz="0" w:space="0" w:color="auto"/>
                                    <w:right w:val="none" w:sz="0" w:space="0" w:color="auto"/>
                                  </w:divBdr>
                                  <w:divsChild>
                                    <w:div w:id="1044251795">
                                      <w:marLeft w:val="0"/>
                                      <w:marRight w:val="0"/>
                                      <w:marTop w:val="0"/>
                                      <w:marBottom w:val="0"/>
                                      <w:divBdr>
                                        <w:top w:val="none" w:sz="0" w:space="0" w:color="auto"/>
                                        <w:left w:val="none" w:sz="0" w:space="0" w:color="auto"/>
                                        <w:bottom w:val="none" w:sz="0" w:space="0" w:color="auto"/>
                                        <w:right w:val="none" w:sz="0" w:space="0" w:color="auto"/>
                                      </w:divBdr>
                                      <w:divsChild>
                                        <w:div w:id="318703328">
                                          <w:marLeft w:val="1200"/>
                                          <w:marRight w:val="1200"/>
                                          <w:marTop w:val="0"/>
                                          <w:marBottom w:val="0"/>
                                          <w:divBdr>
                                            <w:top w:val="none" w:sz="0" w:space="0" w:color="auto"/>
                                            <w:left w:val="none" w:sz="0" w:space="0" w:color="auto"/>
                                            <w:bottom w:val="none" w:sz="0" w:space="0" w:color="auto"/>
                                            <w:right w:val="none" w:sz="0" w:space="0" w:color="auto"/>
                                          </w:divBdr>
                                          <w:divsChild>
                                            <w:div w:id="529075381">
                                              <w:marLeft w:val="0"/>
                                              <w:marRight w:val="0"/>
                                              <w:marTop w:val="0"/>
                                              <w:marBottom w:val="0"/>
                                              <w:divBdr>
                                                <w:top w:val="none" w:sz="0" w:space="0" w:color="auto"/>
                                                <w:left w:val="none" w:sz="0" w:space="0" w:color="auto"/>
                                                <w:bottom w:val="none" w:sz="0" w:space="0" w:color="auto"/>
                                                <w:right w:val="none" w:sz="0" w:space="0" w:color="auto"/>
                                              </w:divBdr>
                                              <w:divsChild>
                                                <w:div w:id="843398943">
                                                  <w:marLeft w:val="0"/>
                                                  <w:marRight w:val="0"/>
                                                  <w:marTop w:val="240"/>
                                                  <w:marBottom w:val="0"/>
                                                  <w:divBdr>
                                                    <w:top w:val="none" w:sz="0" w:space="0" w:color="auto"/>
                                                    <w:left w:val="none" w:sz="0" w:space="0" w:color="auto"/>
                                                    <w:bottom w:val="none" w:sz="0" w:space="0" w:color="auto"/>
                                                    <w:right w:val="none" w:sz="0" w:space="0" w:color="auto"/>
                                                  </w:divBdr>
                                                  <w:divsChild>
                                                    <w:div w:id="1405176695">
                                                      <w:marLeft w:val="0"/>
                                                      <w:marRight w:val="0"/>
                                                      <w:marTop w:val="0"/>
                                                      <w:marBottom w:val="0"/>
                                                      <w:divBdr>
                                                        <w:top w:val="none" w:sz="0" w:space="0" w:color="auto"/>
                                                        <w:left w:val="none" w:sz="0" w:space="0" w:color="auto"/>
                                                        <w:bottom w:val="none" w:sz="0" w:space="0" w:color="auto"/>
                                                        <w:right w:val="none" w:sz="0" w:space="0" w:color="auto"/>
                                                      </w:divBdr>
                                                      <w:divsChild>
                                                        <w:div w:id="1305041938">
                                                          <w:marLeft w:val="1275"/>
                                                          <w:marRight w:val="0"/>
                                                          <w:marTop w:val="0"/>
                                                          <w:marBottom w:val="0"/>
                                                          <w:divBdr>
                                                            <w:top w:val="none" w:sz="0" w:space="0" w:color="auto"/>
                                                            <w:left w:val="none" w:sz="0" w:space="0" w:color="auto"/>
                                                            <w:bottom w:val="none" w:sz="0" w:space="0" w:color="auto"/>
                                                            <w:right w:val="none" w:sz="0" w:space="0" w:color="auto"/>
                                                          </w:divBdr>
                                                          <w:divsChild>
                                                            <w:div w:id="1439833782">
                                                              <w:marLeft w:val="0"/>
                                                              <w:marRight w:val="0"/>
                                                              <w:marTop w:val="0"/>
                                                              <w:marBottom w:val="0"/>
                                                              <w:divBdr>
                                                                <w:top w:val="none" w:sz="0" w:space="0" w:color="auto"/>
                                                                <w:left w:val="none" w:sz="0" w:space="0" w:color="auto"/>
                                                                <w:bottom w:val="none" w:sz="0" w:space="0" w:color="auto"/>
                                                                <w:right w:val="none" w:sz="0" w:space="0" w:color="auto"/>
                                                              </w:divBdr>
                                                              <w:divsChild>
                                                                <w:div w:id="12277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654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a.next.westlaw.com/Document/I391a9910024e11da9439b076ef9ec4de/View/FullText.html?navigationPath=Search%2Fv3%2Fsearch%2Fresults%2Fnavigation%2Fi0ad6040a000001506d75e058105cb6ec%3FNav%3DCASE%26fragmentIdentifier%3DI62225493bfad11e1b60ab297d3d07bc5%26startIndex%3D1%26contextData%3D%2528sc.Search%2529%26transitionType%3DSearchItem&amp;listSource=Search&amp;list=ALL&amp;rank=4&amp;grading=na&amp;sessionScopeId=6ae499e47d1f5d1288e37efde6f80c33&amp;originationContext=PreviousNextSearchTerm&amp;transitionType=SearchItem&amp;contextData=%28sc.Search%29&amp;listPageSource=7bb7172b75dd5d06b3c052c79469488b&amp;TermNavState=first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7F96-A1D4-4E7E-ADBC-EAD575D26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9058</Words>
  <Characters>46106</Characters>
  <Application>Microsoft Office Word</Application>
  <DocSecurity>0</DocSecurity>
  <PresentationFormat>14|.DOCX</PresentationFormat>
  <Lines>808</Lines>
  <Paragraphs>166</Paragraphs>
  <ScaleCrop>false</ScaleCrop>
  <HeadingPairs>
    <vt:vector size="2" baseType="variant">
      <vt:variant>
        <vt:lpstr>Title</vt:lpstr>
      </vt:variant>
      <vt:variant>
        <vt:i4>1</vt:i4>
      </vt:variant>
    </vt:vector>
  </HeadingPairs>
  <TitlesOfParts>
    <vt:vector size="1" baseType="lpstr">
      <vt:lpstr>Representing Borrowers CLE Paper October 2015 (00294265).DOCX</vt:lpstr>
    </vt:vector>
  </TitlesOfParts>
  <Company>BLO</Company>
  <LinksUpToDate>false</LinksUpToDate>
  <CharactersWithSpaces>54998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Representing Borrowers CLE Paper October 2015 (00294265).DOCX</dc:title>
  <dc:subject>00294265.DOCX / /Font=8</dc:subject>
  <dc:creator>Ariel Zion</dc:creator>
  <cp:keywords/>
  <dc:description>DO NOT STAMP </dc:description>
  <cp:lastModifiedBy>Steve Parham</cp:lastModifiedBy>
  <cp:revision>2</cp:revision>
  <cp:lastPrinted>2012-10-17T21:29:00Z</cp:lastPrinted>
  <dcterms:created xsi:type="dcterms:W3CDTF">2015-10-15T22:12:00Z</dcterms:created>
  <dcterms:modified xsi:type="dcterms:W3CDTF">2015-10-15T22:12:00Z</dcterms:modified>
</cp:coreProperties>
</file>