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DB" w:rsidRPr="003E193D" w:rsidRDefault="006405DB" w:rsidP="006405DB">
      <w:pPr>
        <w:spacing w:after="0" w:line="480" w:lineRule="auto"/>
        <w:rPr>
          <w:rFonts w:ascii="Times New Roman" w:hAnsi="Times New Roman" w:cs="Times New Roman"/>
          <w:b/>
          <w:sz w:val="24"/>
          <w:szCs w:val="24"/>
        </w:rPr>
      </w:pPr>
    </w:p>
    <w:p w:rsidR="006405DB" w:rsidRPr="003E193D" w:rsidRDefault="006405DB" w:rsidP="006E4006">
      <w:pPr>
        <w:pBdr>
          <w:bottom w:val="single" w:sz="12" w:space="8" w:color="auto"/>
        </w:pBdr>
        <w:spacing w:after="0" w:line="240" w:lineRule="auto"/>
        <w:jc w:val="center"/>
        <w:rPr>
          <w:rFonts w:ascii="Times New Roman" w:hAnsi="Times New Roman" w:cs="Times New Roman"/>
          <w:b/>
          <w:sz w:val="24"/>
          <w:szCs w:val="24"/>
        </w:rPr>
      </w:pPr>
      <w:r w:rsidRPr="003E193D">
        <w:rPr>
          <w:rFonts w:ascii="Times New Roman" w:hAnsi="Times New Roman" w:cs="Times New Roman"/>
          <w:b/>
          <w:sz w:val="24"/>
          <w:szCs w:val="24"/>
        </w:rPr>
        <w:t xml:space="preserve">Commercial Purchase/Sale Agreement Disputes and </w:t>
      </w:r>
      <w:r w:rsidR="008D5C72" w:rsidRPr="003E193D">
        <w:rPr>
          <w:rFonts w:ascii="Times New Roman" w:hAnsi="Times New Roman" w:cs="Times New Roman"/>
          <w:b/>
          <w:sz w:val="24"/>
          <w:szCs w:val="24"/>
        </w:rPr>
        <w:t>Litigation</w:t>
      </w:r>
    </w:p>
    <w:p w:rsidR="006E4006" w:rsidRPr="003E193D" w:rsidRDefault="006E4006" w:rsidP="006405DB">
      <w:pPr>
        <w:spacing w:after="0" w:line="240" w:lineRule="auto"/>
        <w:jc w:val="center"/>
        <w:rPr>
          <w:rFonts w:ascii="Times New Roman" w:hAnsi="Times New Roman" w:cs="Times New Roman"/>
          <w:b/>
          <w:sz w:val="24"/>
          <w:szCs w:val="24"/>
        </w:rPr>
      </w:pPr>
    </w:p>
    <w:p w:rsidR="00E76580" w:rsidRPr="003E193D" w:rsidRDefault="006405DB" w:rsidP="006405DB">
      <w:pPr>
        <w:spacing w:after="0" w:line="240" w:lineRule="auto"/>
        <w:jc w:val="center"/>
        <w:rPr>
          <w:rFonts w:ascii="Times New Roman" w:hAnsi="Times New Roman" w:cs="Times New Roman"/>
          <w:i/>
          <w:sz w:val="24"/>
          <w:szCs w:val="24"/>
        </w:rPr>
      </w:pPr>
      <w:r w:rsidRPr="003E193D">
        <w:rPr>
          <w:rFonts w:ascii="Times New Roman" w:hAnsi="Times New Roman" w:cs="Times New Roman"/>
          <w:i/>
          <w:sz w:val="24"/>
          <w:szCs w:val="24"/>
        </w:rPr>
        <w:t>Ryan T. Pumpian</w:t>
      </w:r>
      <w:r w:rsidR="006E4006" w:rsidRPr="003E193D">
        <w:rPr>
          <w:rFonts w:ascii="Times New Roman" w:hAnsi="Times New Roman" w:cs="Times New Roman"/>
          <w:i/>
          <w:sz w:val="24"/>
          <w:szCs w:val="24"/>
        </w:rPr>
        <w:t xml:space="preserve"> and </w:t>
      </w:r>
      <w:r w:rsidR="00E76580" w:rsidRPr="003E193D">
        <w:rPr>
          <w:rFonts w:ascii="Times New Roman" w:hAnsi="Times New Roman" w:cs="Times New Roman"/>
          <w:i/>
          <w:sz w:val="24"/>
          <w:szCs w:val="24"/>
        </w:rPr>
        <w:t>Lindsay S. Reese</w:t>
      </w:r>
    </w:p>
    <w:p w:rsidR="006405DB" w:rsidRPr="003E193D" w:rsidRDefault="006405DB" w:rsidP="006405DB">
      <w:pPr>
        <w:spacing w:after="0" w:line="240" w:lineRule="auto"/>
        <w:jc w:val="center"/>
        <w:rPr>
          <w:rFonts w:ascii="Times New Roman" w:hAnsi="Times New Roman" w:cs="Times New Roman"/>
          <w:sz w:val="24"/>
          <w:szCs w:val="24"/>
        </w:rPr>
      </w:pPr>
      <w:r w:rsidRPr="003E193D">
        <w:rPr>
          <w:rFonts w:ascii="Times New Roman" w:hAnsi="Times New Roman" w:cs="Times New Roman"/>
          <w:i/>
          <w:sz w:val="24"/>
          <w:szCs w:val="24"/>
        </w:rPr>
        <w:t>Bloom Sugarman, LLP</w:t>
      </w:r>
    </w:p>
    <w:p w:rsidR="006E4006" w:rsidRPr="003E193D" w:rsidRDefault="006E4006" w:rsidP="006405DB">
      <w:pPr>
        <w:spacing w:after="0" w:line="240" w:lineRule="auto"/>
        <w:jc w:val="center"/>
        <w:rPr>
          <w:rFonts w:ascii="Times New Roman" w:hAnsi="Times New Roman" w:cs="Times New Roman"/>
          <w:sz w:val="24"/>
          <w:szCs w:val="24"/>
        </w:rPr>
      </w:pPr>
    </w:p>
    <w:p w:rsidR="00DB3287" w:rsidRPr="003E193D" w:rsidRDefault="00DB3287" w:rsidP="002D30C0">
      <w:pPr>
        <w:spacing w:line="480" w:lineRule="auto"/>
        <w:jc w:val="both"/>
        <w:rPr>
          <w:rFonts w:ascii="Times New Roman" w:hAnsi="Times New Roman" w:cs="Times New Roman"/>
          <w:sz w:val="24"/>
          <w:szCs w:val="24"/>
        </w:rPr>
      </w:pPr>
      <w:r w:rsidRPr="003E193D">
        <w:rPr>
          <w:rFonts w:ascii="Times New Roman" w:hAnsi="Times New Roman" w:cs="Times New Roman"/>
          <w:sz w:val="24"/>
          <w:szCs w:val="24"/>
        </w:rPr>
        <w:tab/>
        <w:t>During the course of a transaction for land, property law and contract law intersect at the creation of the written purchase and sale agreement.</w:t>
      </w:r>
      <w:r w:rsidRPr="003E193D">
        <w:rPr>
          <w:rStyle w:val="FootnoteReference"/>
          <w:rFonts w:ascii="Times New Roman" w:hAnsi="Times New Roman" w:cs="Times New Roman"/>
          <w:sz w:val="24"/>
          <w:szCs w:val="24"/>
        </w:rPr>
        <w:footnoteReference w:id="1"/>
      </w:r>
      <w:r w:rsidR="00D379A0" w:rsidRPr="003E193D">
        <w:rPr>
          <w:rFonts w:ascii="Times New Roman" w:hAnsi="Times New Roman" w:cs="Times New Roman"/>
          <w:sz w:val="24"/>
          <w:szCs w:val="24"/>
        </w:rPr>
        <w:t xml:space="preserve">  A considerable amount of litigation arises from disputes regarding the interpretation of these agreements.  Although purchase and sale agreements concern property, the litigation issues surrounding the agreements are largely contractual issues.</w:t>
      </w:r>
      <w:r w:rsidR="00D379A0" w:rsidRPr="003E193D">
        <w:rPr>
          <w:rStyle w:val="FootnoteReference"/>
          <w:rFonts w:ascii="Times New Roman" w:hAnsi="Times New Roman" w:cs="Times New Roman"/>
          <w:sz w:val="24"/>
          <w:szCs w:val="24"/>
        </w:rPr>
        <w:footnoteReference w:id="2"/>
      </w:r>
      <w:r w:rsidR="006F1001" w:rsidRPr="003E193D">
        <w:rPr>
          <w:rFonts w:ascii="Times New Roman" w:hAnsi="Times New Roman" w:cs="Times New Roman"/>
          <w:sz w:val="24"/>
          <w:szCs w:val="24"/>
        </w:rPr>
        <w:t xml:space="preserve">  As discussed below, typical contract disputes turn on</w:t>
      </w:r>
      <w:r w:rsidR="000F5F0E" w:rsidRPr="003E193D">
        <w:rPr>
          <w:rFonts w:ascii="Times New Roman" w:hAnsi="Times New Roman" w:cs="Times New Roman"/>
          <w:sz w:val="24"/>
          <w:szCs w:val="24"/>
        </w:rPr>
        <w:t xml:space="preserve"> </w:t>
      </w:r>
      <w:r w:rsidR="006F1001" w:rsidRPr="003E193D">
        <w:rPr>
          <w:rFonts w:ascii="Times New Roman" w:hAnsi="Times New Roman" w:cs="Times New Roman"/>
          <w:sz w:val="24"/>
          <w:szCs w:val="24"/>
        </w:rPr>
        <w:t xml:space="preserve">offer and acceptance, </w:t>
      </w:r>
      <w:r w:rsidR="00A44372" w:rsidRPr="003E193D">
        <w:rPr>
          <w:rFonts w:ascii="Times New Roman" w:hAnsi="Times New Roman" w:cs="Times New Roman"/>
          <w:sz w:val="24"/>
          <w:szCs w:val="24"/>
        </w:rPr>
        <w:t>indefiniteness/ambiguity</w:t>
      </w:r>
      <w:r w:rsidR="006F1001" w:rsidRPr="003E193D">
        <w:rPr>
          <w:rFonts w:ascii="Times New Roman" w:hAnsi="Times New Roman" w:cs="Times New Roman"/>
          <w:sz w:val="24"/>
          <w:szCs w:val="24"/>
        </w:rPr>
        <w:t xml:space="preserve">, failure to close when scheduled, </w:t>
      </w:r>
      <w:r w:rsidR="000F5F0E" w:rsidRPr="003E193D">
        <w:rPr>
          <w:rFonts w:ascii="Times New Roman" w:hAnsi="Times New Roman" w:cs="Times New Roman"/>
          <w:sz w:val="24"/>
          <w:szCs w:val="24"/>
        </w:rPr>
        <w:t>and earnest money provisions</w:t>
      </w:r>
      <w:r w:rsidR="006F1001" w:rsidRPr="003E193D">
        <w:rPr>
          <w:rFonts w:ascii="Times New Roman" w:hAnsi="Times New Roman" w:cs="Times New Roman"/>
          <w:sz w:val="24"/>
          <w:szCs w:val="24"/>
        </w:rPr>
        <w:t>.</w:t>
      </w:r>
      <w:r w:rsidR="006F1001" w:rsidRPr="003E193D">
        <w:rPr>
          <w:rStyle w:val="FootnoteReference"/>
          <w:rFonts w:ascii="Times New Roman" w:hAnsi="Times New Roman" w:cs="Times New Roman"/>
          <w:sz w:val="24"/>
          <w:szCs w:val="24"/>
        </w:rPr>
        <w:footnoteReference w:id="3"/>
      </w:r>
      <w:r w:rsidR="000F5F0E" w:rsidRPr="003E193D">
        <w:rPr>
          <w:rFonts w:ascii="Times New Roman" w:hAnsi="Times New Roman" w:cs="Times New Roman"/>
          <w:sz w:val="24"/>
          <w:szCs w:val="24"/>
        </w:rPr>
        <w:t xml:space="preserve">  When these disputes arise, it is important to know your available remedies and </w:t>
      </w:r>
      <w:r w:rsidR="00774D58" w:rsidRPr="003E193D">
        <w:rPr>
          <w:rFonts w:ascii="Times New Roman" w:hAnsi="Times New Roman" w:cs="Times New Roman"/>
          <w:sz w:val="24"/>
          <w:szCs w:val="24"/>
        </w:rPr>
        <w:t>the best vehicles for recovering damages.</w:t>
      </w:r>
    </w:p>
    <w:p w:rsidR="006405DB" w:rsidRPr="003E193D" w:rsidRDefault="006405DB" w:rsidP="006405DB">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Applying Relevant State Laws and Recent Cases</w:t>
      </w:r>
      <w:r w:rsidR="00711995" w:rsidRPr="003E193D">
        <w:rPr>
          <w:rFonts w:ascii="Times New Roman" w:hAnsi="Times New Roman" w:cs="Times New Roman"/>
          <w:b/>
          <w:sz w:val="24"/>
          <w:szCs w:val="24"/>
        </w:rPr>
        <w:t>.</w:t>
      </w:r>
    </w:p>
    <w:p w:rsidR="00AE2E5D" w:rsidRPr="003E193D" w:rsidRDefault="00820CD9" w:rsidP="00C214C1">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Before digging into </w:t>
      </w:r>
      <w:r w:rsidR="00C214C1" w:rsidRPr="003E193D">
        <w:rPr>
          <w:rFonts w:ascii="Times New Roman" w:hAnsi="Times New Roman" w:cs="Times New Roman"/>
          <w:sz w:val="24"/>
          <w:szCs w:val="24"/>
        </w:rPr>
        <w:t xml:space="preserve">the specifics, it is helpful to review the most recent cases analyzing and interpreting </w:t>
      </w:r>
      <w:r w:rsidR="0011190E" w:rsidRPr="003E193D">
        <w:rPr>
          <w:rFonts w:ascii="Times New Roman" w:hAnsi="Times New Roman" w:cs="Times New Roman"/>
          <w:sz w:val="24"/>
          <w:szCs w:val="24"/>
        </w:rPr>
        <w:t>contracts</w:t>
      </w:r>
      <w:r w:rsidR="00C214C1" w:rsidRPr="003E193D">
        <w:rPr>
          <w:rFonts w:ascii="Times New Roman" w:hAnsi="Times New Roman" w:cs="Times New Roman"/>
          <w:sz w:val="24"/>
          <w:szCs w:val="24"/>
        </w:rPr>
        <w:t xml:space="preserve"> and the disputes associated therewith.  </w:t>
      </w:r>
      <w:r w:rsidR="00F73045" w:rsidRPr="003E193D">
        <w:rPr>
          <w:rFonts w:ascii="Times New Roman" w:hAnsi="Times New Roman" w:cs="Times New Roman"/>
          <w:sz w:val="24"/>
          <w:szCs w:val="24"/>
        </w:rPr>
        <w:t>While some of the cases discussed in this section and throughout this paper are not specific to the interpretation of purchase and sale agreements, “contracts for the sale of real property are governed largely by the rules and principals applicable to contracts generally.”</w:t>
      </w:r>
      <w:r w:rsidR="00F73045" w:rsidRPr="003E193D">
        <w:rPr>
          <w:rStyle w:val="FootnoteReference"/>
          <w:rFonts w:ascii="Times New Roman" w:hAnsi="Times New Roman" w:cs="Times New Roman"/>
          <w:sz w:val="24"/>
          <w:szCs w:val="24"/>
        </w:rPr>
        <w:footnoteReference w:id="4"/>
      </w:r>
      <w:r w:rsidR="00F73045" w:rsidRPr="003E193D">
        <w:rPr>
          <w:rFonts w:ascii="Times New Roman" w:hAnsi="Times New Roman" w:cs="Times New Roman"/>
          <w:sz w:val="24"/>
          <w:szCs w:val="24"/>
        </w:rPr>
        <w:t xml:space="preserve">  As such, these cases provide insight as to how courts will interpret key provisions in purchase and sale agreements.  </w:t>
      </w:r>
      <w:r w:rsidR="00C214C1" w:rsidRPr="003E193D">
        <w:rPr>
          <w:rFonts w:ascii="Times New Roman" w:hAnsi="Times New Roman" w:cs="Times New Roman"/>
          <w:sz w:val="24"/>
          <w:szCs w:val="24"/>
        </w:rPr>
        <w:t xml:space="preserve">The following are </w:t>
      </w:r>
      <w:r w:rsidR="00035891" w:rsidRPr="003E193D">
        <w:rPr>
          <w:rFonts w:ascii="Times New Roman" w:hAnsi="Times New Roman" w:cs="Times New Roman"/>
          <w:sz w:val="24"/>
          <w:szCs w:val="24"/>
        </w:rPr>
        <w:t>highlights from a few of the Georgia</w:t>
      </w:r>
      <w:r w:rsidR="00C214C1" w:rsidRPr="003E193D">
        <w:rPr>
          <w:rFonts w:ascii="Times New Roman" w:hAnsi="Times New Roman" w:cs="Times New Roman"/>
          <w:sz w:val="24"/>
          <w:szCs w:val="24"/>
        </w:rPr>
        <w:t xml:space="preserve"> cases decided in the last 12 months:</w:t>
      </w:r>
      <w:r w:rsidR="00F73045" w:rsidRPr="003E193D">
        <w:rPr>
          <w:rFonts w:ascii="Times New Roman" w:hAnsi="Times New Roman" w:cs="Times New Roman"/>
          <w:sz w:val="24"/>
          <w:szCs w:val="24"/>
        </w:rPr>
        <w:t xml:space="preserve">  </w:t>
      </w:r>
    </w:p>
    <w:p w:rsidR="001575B8" w:rsidRPr="003E193D" w:rsidRDefault="001575B8" w:rsidP="00E034DD">
      <w:pPr>
        <w:pStyle w:val="ListParagraph"/>
        <w:numPr>
          <w:ilvl w:val="0"/>
          <w:numId w:val="11"/>
        </w:numPr>
        <w:spacing w:after="0" w:line="480" w:lineRule="auto"/>
        <w:jc w:val="both"/>
        <w:rPr>
          <w:rFonts w:ascii="Times New Roman" w:hAnsi="Times New Roman" w:cs="Times New Roman"/>
          <w:b/>
          <w:sz w:val="24"/>
          <w:szCs w:val="24"/>
        </w:rPr>
      </w:pPr>
      <w:r w:rsidRPr="003E193D">
        <w:rPr>
          <w:rFonts w:ascii="Times New Roman" w:hAnsi="Times New Roman" w:cs="Times New Roman"/>
          <w:sz w:val="24"/>
          <w:szCs w:val="24"/>
          <w:u w:val="single"/>
        </w:rPr>
        <w:lastRenderedPageBreak/>
        <w:t>On Line, Inc. v. Wrightsboro Walk, LLC</w:t>
      </w:r>
      <w:r w:rsidRPr="003E193D">
        <w:rPr>
          <w:rFonts w:ascii="Times New Roman" w:hAnsi="Times New Roman" w:cs="Times New Roman"/>
          <w:sz w:val="24"/>
          <w:szCs w:val="24"/>
        </w:rPr>
        <w:t>:</w:t>
      </w:r>
      <w:r w:rsidRPr="003E193D">
        <w:rPr>
          <w:rStyle w:val="FootnoteReference"/>
          <w:rFonts w:ascii="Times New Roman" w:hAnsi="Times New Roman" w:cs="Times New Roman"/>
          <w:sz w:val="24"/>
          <w:szCs w:val="24"/>
        </w:rPr>
        <w:footnoteReference w:id="5"/>
      </w:r>
      <w:r w:rsidRPr="003E193D">
        <w:rPr>
          <w:rFonts w:ascii="Times New Roman" w:hAnsi="Times New Roman" w:cs="Times New Roman"/>
          <w:sz w:val="24"/>
          <w:szCs w:val="24"/>
        </w:rPr>
        <w:t xml:space="preserve">  </w:t>
      </w:r>
      <w:r w:rsidR="001B4C1B" w:rsidRPr="003E193D">
        <w:rPr>
          <w:rFonts w:ascii="Times New Roman" w:hAnsi="Times New Roman" w:cs="Times New Roman"/>
          <w:sz w:val="24"/>
          <w:szCs w:val="24"/>
        </w:rPr>
        <w:t xml:space="preserve">Parties entered into a purchase and sale agreement for commercial real estate.  Contract provided that upon execution, purchaser would deposit $25,000 in earnest money into escrow, which it did.  Within three days of the expiration of the due diligence period, </w:t>
      </w:r>
      <w:r w:rsidR="001E308C" w:rsidRPr="003E193D">
        <w:rPr>
          <w:rFonts w:ascii="Times New Roman" w:hAnsi="Times New Roman" w:cs="Times New Roman"/>
          <w:sz w:val="24"/>
          <w:szCs w:val="24"/>
        </w:rPr>
        <w:t>purchaser</w:t>
      </w:r>
      <w:r w:rsidR="001B4C1B" w:rsidRPr="003E193D">
        <w:rPr>
          <w:rFonts w:ascii="Times New Roman" w:hAnsi="Times New Roman" w:cs="Times New Roman"/>
          <w:sz w:val="24"/>
          <w:szCs w:val="24"/>
        </w:rPr>
        <w:t xml:space="preserve"> was </w:t>
      </w:r>
      <w:r w:rsidR="001E308C" w:rsidRPr="003E193D">
        <w:rPr>
          <w:rFonts w:ascii="Times New Roman" w:hAnsi="Times New Roman" w:cs="Times New Roman"/>
          <w:sz w:val="24"/>
          <w:szCs w:val="24"/>
        </w:rPr>
        <w:t>required</w:t>
      </w:r>
      <w:r w:rsidR="001B4C1B" w:rsidRPr="003E193D">
        <w:rPr>
          <w:rFonts w:ascii="Times New Roman" w:hAnsi="Times New Roman" w:cs="Times New Roman"/>
          <w:sz w:val="24"/>
          <w:szCs w:val="24"/>
        </w:rPr>
        <w:t xml:space="preserve"> to deposit an </w:t>
      </w:r>
      <w:r w:rsidR="001E308C" w:rsidRPr="003E193D">
        <w:rPr>
          <w:rFonts w:ascii="Times New Roman" w:hAnsi="Times New Roman" w:cs="Times New Roman"/>
          <w:sz w:val="24"/>
          <w:szCs w:val="24"/>
        </w:rPr>
        <w:t>additional</w:t>
      </w:r>
      <w:r w:rsidR="001B4C1B" w:rsidRPr="003E193D">
        <w:rPr>
          <w:rFonts w:ascii="Times New Roman" w:hAnsi="Times New Roman" w:cs="Times New Roman"/>
          <w:sz w:val="24"/>
          <w:szCs w:val="24"/>
        </w:rPr>
        <w:t xml:space="preserve"> $25,000 into escrow.</w:t>
      </w:r>
      <w:r w:rsidR="001E308C" w:rsidRPr="003E193D">
        <w:rPr>
          <w:rFonts w:ascii="Times New Roman" w:hAnsi="Times New Roman" w:cs="Times New Roman"/>
          <w:sz w:val="24"/>
          <w:szCs w:val="24"/>
        </w:rPr>
        <w:t xml:space="preserve">  However, purchaser terminated the agreement and did not pay this earnest money deposit.  </w:t>
      </w:r>
      <w:r w:rsidR="00DA3CEE" w:rsidRPr="003E193D">
        <w:rPr>
          <w:rFonts w:ascii="Times New Roman" w:hAnsi="Times New Roman" w:cs="Times New Roman"/>
          <w:sz w:val="24"/>
          <w:szCs w:val="24"/>
        </w:rPr>
        <w:t xml:space="preserve">The agreement provided that if the deal failed to close for reasons other than seller’s default or the inability to have a certain loan transferred (which would result in the return of earnest money), the earnest money would be paid to and retained by seller.  </w:t>
      </w:r>
      <w:r w:rsidR="00CD171D" w:rsidRPr="003E193D">
        <w:rPr>
          <w:rFonts w:ascii="Times New Roman" w:hAnsi="Times New Roman" w:cs="Times New Roman"/>
          <w:sz w:val="24"/>
          <w:szCs w:val="24"/>
        </w:rPr>
        <w:t xml:space="preserve">The agreement also provided that purchaser had the right to terminate the contract at any time during the 30-day inspection period (which began on </w:t>
      </w:r>
      <w:r w:rsidR="00BB79C9" w:rsidRPr="003E193D">
        <w:rPr>
          <w:rFonts w:ascii="Times New Roman" w:hAnsi="Times New Roman" w:cs="Times New Roman"/>
          <w:sz w:val="24"/>
          <w:szCs w:val="24"/>
        </w:rPr>
        <w:t>“</w:t>
      </w:r>
      <w:r w:rsidR="00CD171D" w:rsidRPr="003E193D">
        <w:rPr>
          <w:rFonts w:ascii="Times New Roman" w:hAnsi="Times New Roman" w:cs="Times New Roman"/>
          <w:sz w:val="24"/>
          <w:szCs w:val="24"/>
        </w:rPr>
        <w:t>the Effective Date</w:t>
      </w:r>
      <w:r w:rsidR="00BB79C9" w:rsidRPr="003E193D">
        <w:rPr>
          <w:rFonts w:ascii="Times New Roman" w:hAnsi="Times New Roman" w:cs="Times New Roman"/>
          <w:sz w:val="24"/>
          <w:szCs w:val="24"/>
        </w:rPr>
        <w:t>”</w:t>
      </w:r>
      <w:r w:rsidR="00CD171D" w:rsidRPr="003E193D">
        <w:rPr>
          <w:rFonts w:ascii="Times New Roman" w:hAnsi="Times New Roman" w:cs="Times New Roman"/>
          <w:sz w:val="24"/>
          <w:szCs w:val="24"/>
        </w:rPr>
        <w:t xml:space="preserve"> of the agreement)</w:t>
      </w:r>
      <w:r w:rsidR="00BB79C9" w:rsidRPr="003E193D">
        <w:rPr>
          <w:rFonts w:ascii="Times New Roman" w:hAnsi="Times New Roman" w:cs="Times New Roman"/>
          <w:sz w:val="24"/>
          <w:szCs w:val="24"/>
        </w:rPr>
        <w:t xml:space="preserve"> and that in the event of such termination, earnest money would be returned to purchaser.</w:t>
      </w:r>
      <w:r w:rsidR="00A76E9E" w:rsidRPr="003E193D">
        <w:rPr>
          <w:rFonts w:ascii="Times New Roman" w:hAnsi="Times New Roman" w:cs="Times New Roman"/>
          <w:sz w:val="24"/>
          <w:szCs w:val="24"/>
        </w:rPr>
        <w:t xml:space="preserve">  Purchaser terminated the contract.</w:t>
      </w:r>
      <w:r w:rsidR="00CD171D" w:rsidRPr="003E193D">
        <w:rPr>
          <w:rFonts w:ascii="Times New Roman" w:hAnsi="Times New Roman" w:cs="Times New Roman"/>
          <w:sz w:val="24"/>
          <w:szCs w:val="24"/>
        </w:rPr>
        <w:t xml:space="preserve">  </w:t>
      </w:r>
      <w:r w:rsidR="00DD1124" w:rsidRPr="003E193D">
        <w:rPr>
          <w:rFonts w:ascii="Times New Roman" w:hAnsi="Times New Roman" w:cs="Times New Roman"/>
          <w:sz w:val="24"/>
          <w:szCs w:val="24"/>
        </w:rPr>
        <w:t xml:space="preserve">Seller brought action against purchaser alleging that purchaser breached the contract and acted in bad faith by failing to deposit the proper amount of earnest money into escrow.  </w:t>
      </w:r>
      <w:r w:rsidR="003D4BE3" w:rsidRPr="003E193D">
        <w:rPr>
          <w:rFonts w:ascii="Times New Roman" w:hAnsi="Times New Roman" w:cs="Times New Roman"/>
          <w:sz w:val="24"/>
          <w:szCs w:val="24"/>
        </w:rPr>
        <w:t xml:space="preserve">Trial court granted summary judgment in favor of seller.  </w:t>
      </w:r>
      <w:r w:rsidR="0062796E" w:rsidRPr="003E193D">
        <w:rPr>
          <w:rFonts w:ascii="Times New Roman" w:hAnsi="Times New Roman" w:cs="Times New Roman"/>
          <w:sz w:val="24"/>
          <w:szCs w:val="24"/>
        </w:rPr>
        <w:t xml:space="preserve">The </w:t>
      </w:r>
      <w:r w:rsidR="005F1A42" w:rsidRPr="003E193D">
        <w:rPr>
          <w:rFonts w:ascii="Times New Roman" w:hAnsi="Times New Roman" w:cs="Times New Roman"/>
          <w:sz w:val="24"/>
          <w:szCs w:val="24"/>
        </w:rPr>
        <w:t>appellate</w:t>
      </w:r>
      <w:r w:rsidR="0062796E" w:rsidRPr="003E193D">
        <w:rPr>
          <w:rFonts w:ascii="Times New Roman" w:hAnsi="Times New Roman" w:cs="Times New Roman"/>
          <w:sz w:val="24"/>
          <w:szCs w:val="24"/>
        </w:rPr>
        <w:t xml:space="preserve"> court reversed holding that there were issues of fact as to whether alleged misrepresentations by seller allowed purchaser to terminate the contract outside the inspection date.  It was also clear that purchaser was unable to secure the loan transfer contemplated by the agreement.  </w:t>
      </w:r>
      <w:r w:rsidR="005F1A42" w:rsidRPr="003E193D">
        <w:rPr>
          <w:rFonts w:ascii="Times New Roman" w:hAnsi="Times New Roman" w:cs="Times New Roman"/>
          <w:sz w:val="24"/>
          <w:szCs w:val="24"/>
        </w:rPr>
        <w:t xml:space="preserve">In response to purchaser’s argument that the trial court erred by finding that the inspection period began on August 23, 2013 because purchaser had failed to tender the requisite documents per the contract, the court disagreed.  </w:t>
      </w:r>
      <w:r w:rsidR="00E5237C" w:rsidRPr="003E193D">
        <w:rPr>
          <w:rFonts w:ascii="Times New Roman" w:hAnsi="Times New Roman" w:cs="Times New Roman"/>
          <w:sz w:val="24"/>
          <w:szCs w:val="24"/>
        </w:rPr>
        <w:t xml:space="preserve">The court noted that although the contract language was clear that the inspection period did not begin until purchaser delivered the requisite documents, seller </w:t>
      </w:r>
      <w:r w:rsidR="00E5237C" w:rsidRPr="003E193D">
        <w:rPr>
          <w:rFonts w:ascii="Times New Roman" w:hAnsi="Times New Roman" w:cs="Times New Roman"/>
          <w:sz w:val="24"/>
          <w:szCs w:val="24"/>
        </w:rPr>
        <w:lastRenderedPageBreak/>
        <w:t xml:space="preserve">provided a written receipt proposing that the inspection period be considered August 23 to September 23.  Purchaser’s representative signed the receipt thus completing a modification of the contract.  </w:t>
      </w:r>
      <w:r w:rsidR="00641E0C" w:rsidRPr="003E193D">
        <w:rPr>
          <w:rFonts w:ascii="Times New Roman" w:hAnsi="Times New Roman" w:cs="Times New Roman"/>
          <w:sz w:val="24"/>
          <w:szCs w:val="24"/>
        </w:rPr>
        <w:t xml:space="preserve">The court held that the trial court did not err by finding that the termination did not occur during the inspection period as defined by the contract.  </w:t>
      </w:r>
      <w:r w:rsidR="00641E0C" w:rsidRPr="003E193D">
        <w:rPr>
          <w:rFonts w:ascii="Times New Roman" w:hAnsi="Times New Roman" w:cs="Times New Roman"/>
          <w:b/>
          <w:sz w:val="24"/>
          <w:szCs w:val="24"/>
        </w:rPr>
        <w:t>Practice Pointer:  Be careful what you sign post-contract.  It could be considered a modification.</w:t>
      </w:r>
    </w:p>
    <w:p w:rsidR="003E193D" w:rsidRPr="003E193D" w:rsidRDefault="00941255" w:rsidP="00E034DD">
      <w:pPr>
        <w:pStyle w:val="ListParagraph"/>
        <w:numPr>
          <w:ilvl w:val="0"/>
          <w:numId w:val="11"/>
        </w:num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u w:val="single"/>
        </w:rPr>
        <w:t>Carnett’s Properties, LLC v. Jowayne, LLC</w:t>
      </w:r>
      <w:r w:rsidRPr="003E193D">
        <w:rPr>
          <w:rFonts w:ascii="Times New Roman" w:hAnsi="Times New Roman" w:cs="Times New Roman"/>
          <w:sz w:val="24"/>
          <w:szCs w:val="24"/>
        </w:rPr>
        <w:t>:</w:t>
      </w:r>
      <w:r w:rsidRPr="003E193D">
        <w:rPr>
          <w:rStyle w:val="FootnoteReference"/>
          <w:rFonts w:ascii="Times New Roman" w:hAnsi="Times New Roman" w:cs="Times New Roman"/>
          <w:sz w:val="24"/>
          <w:szCs w:val="24"/>
        </w:rPr>
        <w:footnoteReference w:id="6"/>
      </w:r>
      <w:r w:rsidRPr="003E193D">
        <w:rPr>
          <w:rFonts w:ascii="Times New Roman" w:hAnsi="Times New Roman" w:cs="Times New Roman"/>
          <w:sz w:val="24"/>
          <w:szCs w:val="24"/>
        </w:rPr>
        <w:t xml:space="preserve">  </w:t>
      </w:r>
      <w:r w:rsidR="001E3EBF" w:rsidRPr="003E193D">
        <w:rPr>
          <w:rFonts w:ascii="Times New Roman" w:hAnsi="Times New Roman" w:cs="Times New Roman"/>
          <w:sz w:val="24"/>
          <w:szCs w:val="24"/>
        </w:rPr>
        <w:t xml:space="preserve">At the time real property was conveyed, the parties executed </w:t>
      </w:r>
      <w:r w:rsidR="0011190E" w:rsidRPr="003E193D">
        <w:rPr>
          <w:rFonts w:ascii="Times New Roman" w:hAnsi="Times New Roman" w:cs="Times New Roman"/>
          <w:sz w:val="24"/>
          <w:szCs w:val="24"/>
        </w:rPr>
        <w:t xml:space="preserve">a </w:t>
      </w:r>
      <w:r w:rsidR="00BA7570" w:rsidRPr="003E193D">
        <w:rPr>
          <w:rFonts w:ascii="Times New Roman" w:hAnsi="Times New Roman" w:cs="Times New Roman"/>
          <w:sz w:val="24"/>
          <w:szCs w:val="24"/>
        </w:rPr>
        <w:t>Declaration of Joint Easement and Joint Maintenance Agreement.</w:t>
      </w:r>
      <w:r w:rsidR="00F40A5D" w:rsidRPr="003E193D">
        <w:rPr>
          <w:rFonts w:ascii="Times New Roman" w:hAnsi="Times New Roman" w:cs="Times New Roman"/>
          <w:sz w:val="24"/>
          <w:szCs w:val="24"/>
        </w:rPr>
        <w:t xml:space="preserve">  The maintenance </w:t>
      </w:r>
      <w:r w:rsidR="00AE3DB7" w:rsidRPr="003E193D">
        <w:rPr>
          <w:rFonts w:ascii="Times New Roman" w:hAnsi="Times New Roman" w:cs="Times New Roman"/>
          <w:sz w:val="24"/>
          <w:szCs w:val="24"/>
        </w:rPr>
        <w:t xml:space="preserve">agreement provided </w:t>
      </w:r>
      <w:r w:rsidR="00F40A5D" w:rsidRPr="003E193D">
        <w:rPr>
          <w:rFonts w:ascii="Times New Roman" w:hAnsi="Times New Roman" w:cs="Times New Roman"/>
          <w:sz w:val="24"/>
          <w:szCs w:val="24"/>
        </w:rPr>
        <w:t>purchaser with a drainage easement over the property seller retained</w:t>
      </w:r>
      <w:r w:rsidR="0011190E" w:rsidRPr="003E193D">
        <w:rPr>
          <w:rFonts w:ascii="Times New Roman" w:hAnsi="Times New Roman" w:cs="Times New Roman"/>
          <w:sz w:val="24"/>
          <w:szCs w:val="24"/>
        </w:rPr>
        <w:t xml:space="preserve"> and purchaser agreed to pay 12%</w:t>
      </w:r>
      <w:r w:rsidR="00AE3DB7" w:rsidRPr="003E193D">
        <w:rPr>
          <w:rFonts w:ascii="Times New Roman" w:hAnsi="Times New Roman" w:cs="Times New Roman"/>
          <w:sz w:val="24"/>
          <w:szCs w:val="24"/>
        </w:rPr>
        <w:t xml:space="preserve"> </w:t>
      </w:r>
      <w:r w:rsidR="0001302D" w:rsidRPr="003E193D">
        <w:rPr>
          <w:rFonts w:ascii="Times New Roman" w:hAnsi="Times New Roman" w:cs="Times New Roman"/>
          <w:sz w:val="24"/>
          <w:szCs w:val="24"/>
        </w:rPr>
        <w:t>of costs associated with the maintenance of a detention facility serving</w:t>
      </w:r>
      <w:r w:rsidR="00D17020" w:rsidRPr="003E193D">
        <w:rPr>
          <w:rFonts w:ascii="Times New Roman" w:hAnsi="Times New Roman" w:cs="Times New Roman"/>
          <w:sz w:val="24"/>
          <w:szCs w:val="24"/>
        </w:rPr>
        <w:t xml:space="preserve"> acres still owned by seller.  Seller continued to sell of</w:t>
      </w:r>
      <w:r w:rsidR="00200BB3" w:rsidRPr="003E193D">
        <w:rPr>
          <w:rFonts w:ascii="Times New Roman" w:hAnsi="Times New Roman" w:cs="Times New Roman"/>
          <w:sz w:val="24"/>
          <w:szCs w:val="24"/>
        </w:rPr>
        <w:t>f</w:t>
      </w:r>
      <w:r w:rsidR="00D17020" w:rsidRPr="003E193D">
        <w:rPr>
          <w:rFonts w:ascii="Times New Roman" w:hAnsi="Times New Roman" w:cs="Times New Roman"/>
          <w:sz w:val="24"/>
          <w:szCs w:val="24"/>
        </w:rPr>
        <w:t xml:space="preserve"> additional portions of his remaining acres</w:t>
      </w:r>
      <w:r w:rsidR="00DE7799" w:rsidRPr="003E193D">
        <w:rPr>
          <w:rFonts w:ascii="Times New Roman" w:hAnsi="Times New Roman" w:cs="Times New Roman"/>
          <w:sz w:val="24"/>
          <w:szCs w:val="24"/>
        </w:rPr>
        <w:t xml:space="preserve"> to new property owners.  Seller then added a </w:t>
      </w:r>
      <w:r w:rsidR="00200BB3" w:rsidRPr="003E193D">
        <w:rPr>
          <w:rFonts w:ascii="Times New Roman" w:hAnsi="Times New Roman" w:cs="Times New Roman"/>
          <w:sz w:val="24"/>
          <w:szCs w:val="24"/>
        </w:rPr>
        <w:t xml:space="preserve">new </w:t>
      </w:r>
      <w:r w:rsidR="00DE7799" w:rsidRPr="003E193D">
        <w:rPr>
          <w:rFonts w:ascii="Times New Roman" w:hAnsi="Times New Roman" w:cs="Times New Roman"/>
          <w:sz w:val="24"/>
          <w:szCs w:val="24"/>
        </w:rPr>
        <w:t xml:space="preserve">detention pond to the property to service all </w:t>
      </w:r>
      <w:r w:rsidR="003777D6" w:rsidRPr="003E193D">
        <w:rPr>
          <w:rFonts w:ascii="Times New Roman" w:hAnsi="Times New Roman" w:cs="Times New Roman"/>
          <w:sz w:val="24"/>
          <w:szCs w:val="24"/>
        </w:rPr>
        <w:t>the various property owners and invoiced purchaser for his 12%.  Purchaser refused to pay contending that the agreement did not encompass the construction of a “new” detention pond.  Seller</w:t>
      </w:r>
      <w:r w:rsidR="001E3EBF" w:rsidRPr="003E193D">
        <w:rPr>
          <w:rFonts w:ascii="Times New Roman" w:hAnsi="Times New Roman" w:cs="Times New Roman"/>
          <w:sz w:val="24"/>
          <w:szCs w:val="24"/>
        </w:rPr>
        <w:t xml:space="preserve"> filed a breach of contract claim alleging that defendant failed to pay sums due under a maintenance agreement</w:t>
      </w:r>
      <w:r w:rsidR="004238C7" w:rsidRPr="003E193D">
        <w:rPr>
          <w:rFonts w:ascii="Times New Roman" w:hAnsi="Times New Roman" w:cs="Times New Roman"/>
          <w:sz w:val="24"/>
          <w:szCs w:val="24"/>
        </w:rPr>
        <w:t>.  Purchaser argued and</w:t>
      </w:r>
      <w:r w:rsidR="00200BB3" w:rsidRPr="003E193D">
        <w:rPr>
          <w:rFonts w:ascii="Times New Roman" w:hAnsi="Times New Roman" w:cs="Times New Roman"/>
          <w:sz w:val="24"/>
          <w:szCs w:val="24"/>
        </w:rPr>
        <w:t xml:space="preserve"> the</w:t>
      </w:r>
      <w:r w:rsidR="004238C7" w:rsidRPr="003E193D">
        <w:rPr>
          <w:rFonts w:ascii="Times New Roman" w:hAnsi="Times New Roman" w:cs="Times New Roman"/>
          <w:sz w:val="24"/>
          <w:szCs w:val="24"/>
        </w:rPr>
        <w:t xml:space="preserve"> trial court found that the agreement only referred to “</w:t>
      </w:r>
      <w:r w:rsidR="004238C7" w:rsidRPr="003E193D">
        <w:rPr>
          <w:rFonts w:ascii="Times New Roman" w:hAnsi="Times New Roman" w:cs="Times New Roman"/>
          <w:i/>
          <w:sz w:val="24"/>
          <w:szCs w:val="24"/>
        </w:rPr>
        <w:t>the</w:t>
      </w:r>
      <w:r w:rsidR="004238C7" w:rsidRPr="003E193D">
        <w:rPr>
          <w:rFonts w:ascii="Times New Roman" w:hAnsi="Times New Roman" w:cs="Times New Roman"/>
          <w:sz w:val="24"/>
          <w:szCs w:val="24"/>
        </w:rPr>
        <w:t xml:space="preserve"> Detention Facility” and did not encompass newly constructed facilities. </w:t>
      </w:r>
      <w:r w:rsidR="00F90610" w:rsidRPr="003E193D">
        <w:rPr>
          <w:rFonts w:ascii="Times New Roman" w:hAnsi="Times New Roman" w:cs="Times New Roman"/>
          <w:sz w:val="24"/>
          <w:szCs w:val="24"/>
        </w:rPr>
        <w:t xml:space="preserve"> Trial court granted summary judgment to purchaser.  On appeal, the court found the contract to be ambiguous because although it referenced “</w:t>
      </w:r>
      <w:r w:rsidR="00F90610" w:rsidRPr="003E193D">
        <w:rPr>
          <w:rFonts w:ascii="Times New Roman" w:hAnsi="Times New Roman" w:cs="Times New Roman"/>
          <w:i/>
          <w:sz w:val="24"/>
          <w:szCs w:val="24"/>
        </w:rPr>
        <w:t>the</w:t>
      </w:r>
      <w:r w:rsidR="00F90610" w:rsidRPr="003E193D">
        <w:rPr>
          <w:rFonts w:ascii="Times New Roman" w:hAnsi="Times New Roman" w:cs="Times New Roman"/>
          <w:sz w:val="24"/>
          <w:szCs w:val="24"/>
        </w:rPr>
        <w:t xml:space="preserve"> Detention Facility,” the agreement also included references to expansion of such facility.  Reversed and remanded.</w:t>
      </w:r>
      <w:r w:rsidRPr="003E193D">
        <w:rPr>
          <w:rFonts w:ascii="Times New Roman" w:hAnsi="Times New Roman" w:cs="Times New Roman"/>
          <w:sz w:val="24"/>
          <w:szCs w:val="24"/>
        </w:rPr>
        <w:t xml:space="preserve">  </w:t>
      </w:r>
    </w:p>
    <w:p w:rsidR="00C214C1" w:rsidRPr="003E193D" w:rsidRDefault="00941255" w:rsidP="003E193D">
      <w:pPr>
        <w:pStyle w:val="ListParagraph"/>
        <w:spacing w:after="0" w:line="480" w:lineRule="auto"/>
        <w:jc w:val="both"/>
        <w:rPr>
          <w:rFonts w:ascii="Times New Roman" w:hAnsi="Times New Roman" w:cs="Times New Roman"/>
          <w:sz w:val="24"/>
          <w:szCs w:val="24"/>
        </w:rPr>
      </w:pPr>
      <w:r w:rsidRPr="003E193D">
        <w:rPr>
          <w:rFonts w:ascii="Times New Roman" w:hAnsi="Times New Roman" w:cs="Times New Roman"/>
          <w:b/>
          <w:sz w:val="24"/>
          <w:szCs w:val="24"/>
        </w:rPr>
        <w:lastRenderedPageBreak/>
        <w:t>Practice Pointer:  Be sure to make your terms consistent and as inclusive or exclusive as intended by the parties</w:t>
      </w:r>
      <w:r w:rsidRPr="003E193D">
        <w:rPr>
          <w:rFonts w:ascii="Times New Roman" w:hAnsi="Times New Roman" w:cs="Times New Roman"/>
          <w:sz w:val="24"/>
          <w:szCs w:val="24"/>
        </w:rPr>
        <w:t>.</w:t>
      </w:r>
      <w:r w:rsidR="001E3EBF" w:rsidRPr="003E193D">
        <w:rPr>
          <w:rFonts w:ascii="Times New Roman" w:hAnsi="Times New Roman" w:cs="Times New Roman"/>
          <w:sz w:val="24"/>
          <w:szCs w:val="24"/>
        </w:rPr>
        <w:t xml:space="preserve">  </w:t>
      </w:r>
    </w:p>
    <w:p w:rsidR="00E034DD" w:rsidRPr="003E193D" w:rsidRDefault="00632AC2" w:rsidP="00E034DD">
      <w:pPr>
        <w:pStyle w:val="ListParagraph"/>
        <w:numPr>
          <w:ilvl w:val="0"/>
          <w:numId w:val="11"/>
        </w:num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u w:val="single"/>
        </w:rPr>
        <w:t>McElvaney v. Roumelco, LLC</w:t>
      </w:r>
      <w:r w:rsidRPr="003E193D">
        <w:rPr>
          <w:rFonts w:ascii="Times New Roman" w:hAnsi="Times New Roman" w:cs="Times New Roman"/>
          <w:sz w:val="24"/>
          <w:szCs w:val="24"/>
        </w:rPr>
        <w:t>:</w:t>
      </w:r>
      <w:r w:rsidRPr="003E193D">
        <w:rPr>
          <w:rStyle w:val="FootnoteReference"/>
          <w:rFonts w:ascii="Times New Roman" w:hAnsi="Times New Roman" w:cs="Times New Roman"/>
          <w:sz w:val="24"/>
          <w:szCs w:val="24"/>
        </w:rPr>
        <w:footnoteReference w:id="7"/>
      </w:r>
      <w:r w:rsidR="006953CC" w:rsidRPr="003E193D">
        <w:rPr>
          <w:rFonts w:ascii="Times New Roman" w:hAnsi="Times New Roman" w:cs="Times New Roman"/>
          <w:sz w:val="24"/>
          <w:szCs w:val="24"/>
        </w:rPr>
        <w:t xml:space="preserve">  </w:t>
      </w:r>
      <w:r w:rsidR="00D265B6" w:rsidRPr="003E193D">
        <w:rPr>
          <w:rFonts w:ascii="Times New Roman" w:hAnsi="Times New Roman" w:cs="Times New Roman"/>
          <w:sz w:val="24"/>
          <w:szCs w:val="24"/>
        </w:rPr>
        <w:t>Two individuals purchased an apartment complex in the name of an LLC.  After closing, one of the individuals brought an action against the other and the LLC for breach of contract, specific performance, fraud, breach of fiduciary duty and unjust e</w:t>
      </w:r>
      <w:r w:rsidR="00ED0E2A" w:rsidRPr="003E193D">
        <w:rPr>
          <w:rFonts w:ascii="Times New Roman" w:hAnsi="Times New Roman" w:cs="Times New Roman"/>
          <w:sz w:val="24"/>
          <w:szCs w:val="24"/>
        </w:rPr>
        <w:t xml:space="preserve">nrichment, among other claims regarding a dispute as to plaintiff’s ownership interest in the entity (which now owed the property) based on an alleged oral contract reached prior to the closing.  </w:t>
      </w:r>
      <w:r w:rsidR="00254869" w:rsidRPr="003E193D">
        <w:rPr>
          <w:rFonts w:ascii="Times New Roman" w:hAnsi="Times New Roman" w:cs="Times New Roman"/>
          <w:sz w:val="24"/>
          <w:szCs w:val="24"/>
        </w:rPr>
        <w:t>Trial court held that the parties never reached an enforceable agreement as to their respective ownership interests</w:t>
      </w:r>
      <w:r w:rsidR="00917E33" w:rsidRPr="003E193D">
        <w:rPr>
          <w:rFonts w:ascii="Times New Roman" w:hAnsi="Times New Roman" w:cs="Times New Roman"/>
          <w:sz w:val="24"/>
          <w:szCs w:val="24"/>
        </w:rPr>
        <w:t xml:space="preserve"> and granted summary judgment in favor of defendants.  On appeal, the court found that there was an issue of fact as to whether the parties agreed to grant plaintiff an enforceable ownership </w:t>
      </w:r>
      <w:r w:rsidR="00A76EB4" w:rsidRPr="003E193D">
        <w:rPr>
          <w:rFonts w:ascii="Times New Roman" w:hAnsi="Times New Roman" w:cs="Times New Roman"/>
          <w:sz w:val="24"/>
          <w:szCs w:val="24"/>
        </w:rPr>
        <w:t>interest</w:t>
      </w:r>
      <w:r w:rsidR="00917E33" w:rsidRPr="003E193D">
        <w:rPr>
          <w:rFonts w:ascii="Times New Roman" w:hAnsi="Times New Roman" w:cs="Times New Roman"/>
          <w:sz w:val="24"/>
          <w:szCs w:val="24"/>
        </w:rPr>
        <w:t xml:space="preserve"> in the LLC by the time the company purchased the property</w:t>
      </w:r>
      <w:r w:rsidR="00A76EB4" w:rsidRPr="003E193D">
        <w:rPr>
          <w:rFonts w:ascii="Times New Roman" w:hAnsi="Times New Roman" w:cs="Times New Roman"/>
          <w:sz w:val="24"/>
          <w:szCs w:val="24"/>
        </w:rPr>
        <w:t>.   Even assuming the oral agreement was not sufficiently definite as to their respective ownership interest in the LLC before the purchase, it was undisputed that</w:t>
      </w:r>
      <w:r w:rsidR="00200BB3" w:rsidRPr="003E193D">
        <w:rPr>
          <w:rFonts w:ascii="Times New Roman" w:hAnsi="Times New Roman" w:cs="Times New Roman"/>
          <w:sz w:val="24"/>
          <w:szCs w:val="24"/>
        </w:rPr>
        <w:t xml:space="preserve"> on</w:t>
      </w:r>
      <w:r w:rsidR="00A76EB4" w:rsidRPr="003E193D">
        <w:rPr>
          <w:rFonts w:ascii="Times New Roman" w:hAnsi="Times New Roman" w:cs="Times New Roman"/>
          <w:sz w:val="24"/>
          <w:szCs w:val="24"/>
        </w:rPr>
        <w:t xml:space="preserve"> two </w:t>
      </w:r>
      <w:r w:rsidR="00FB683D" w:rsidRPr="003E193D">
        <w:rPr>
          <w:rFonts w:ascii="Times New Roman" w:hAnsi="Times New Roman" w:cs="Times New Roman"/>
          <w:sz w:val="24"/>
          <w:szCs w:val="24"/>
        </w:rPr>
        <w:t xml:space="preserve">occasions after closing defendants admitted in writing that </w:t>
      </w:r>
      <w:r w:rsidR="00A76EB4" w:rsidRPr="003E193D">
        <w:rPr>
          <w:rFonts w:ascii="Times New Roman" w:hAnsi="Times New Roman" w:cs="Times New Roman"/>
          <w:sz w:val="24"/>
          <w:szCs w:val="24"/>
        </w:rPr>
        <w:t>plaintiff owned a percentage of the LLC.</w:t>
      </w:r>
      <w:r w:rsidR="00D265B6" w:rsidRPr="003E193D">
        <w:rPr>
          <w:rFonts w:ascii="Times New Roman" w:hAnsi="Times New Roman" w:cs="Times New Roman"/>
          <w:sz w:val="24"/>
          <w:szCs w:val="24"/>
        </w:rPr>
        <w:t xml:space="preserve"> </w:t>
      </w:r>
      <w:r w:rsidR="00FB683D" w:rsidRPr="003E193D">
        <w:rPr>
          <w:rFonts w:ascii="Times New Roman" w:hAnsi="Times New Roman" w:cs="Times New Roman"/>
          <w:sz w:val="24"/>
          <w:szCs w:val="24"/>
        </w:rPr>
        <w:t xml:space="preserve"> </w:t>
      </w:r>
      <w:r w:rsidR="00FB683D" w:rsidRPr="003E193D">
        <w:rPr>
          <w:rFonts w:ascii="Times New Roman" w:hAnsi="Times New Roman" w:cs="Times New Roman"/>
          <w:b/>
          <w:sz w:val="24"/>
          <w:szCs w:val="24"/>
        </w:rPr>
        <w:t xml:space="preserve">Practice Pointer:  Always remember that the court will look to parol evidence if </w:t>
      </w:r>
      <w:r w:rsidR="00200BB3" w:rsidRPr="003E193D">
        <w:rPr>
          <w:rFonts w:ascii="Times New Roman" w:hAnsi="Times New Roman" w:cs="Times New Roman"/>
          <w:b/>
          <w:sz w:val="24"/>
          <w:szCs w:val="24"/>
        </w:rPr>
        <w:t>the agreement is ambiguous</w:t>
      </w:r>
      <w:r w:rsidR="00FB683D" w:rsidRPr="003E193D">
        <w:rPr>
          <w:rFonts w:ascii="Times New Roman" w:hAnsi="Times New Roman" w:cs="Times New Roman"/>
          <w:sz w:val="24"/>
          <w:szCs w:val="24"/>
        </w:rPr>
        <w:t>.</w:t>
      </w:r>
    </w:p>
    <w:p w:rsidR="002F51F4" w:rsidRPr="003E193D" w:rsidRDefault="002F51F4" w:rsidP="00E034DD">
      <w:pPr>
        <w:pStyle w:val="ListParagraph"/>
        <w:numPr>
          <w:ilvl w:val="0"/>
          <w:numId w:val="11"/>
        </w:num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u w:val="single"/>
        </w:rPr>
        <w:t>RES-GA SCL, LLC v. Stonecrest Land, LLC</w:t>
      </w:r>
      <w:r w:rsidRPr="003E193D">
        <w:rPr>
          <w:rFonts w:ascii="Times New Roman" w:hAnsi="Times New Roman" w:cs="Times New Roman"/>
          <w:sz w:val="24"/>
          <w:szCs w:val="24"/>
        </w:rPr>
        <w:t>:</w:t>
      </w:r>
      <w:r w:rsidRPr="003E193D">
        <w:rPr>
          <w:rStyle w:val="FootnoteReference"/>
          <w:rFonts w:ascii="Times New Roman" w:hAnsi="Times New Roman" w:cs="Times New Roman"/>
          <w:sz w:val="24"/>
          <w:szCs w:val="24"/>
        </w:rPr>
        <w:footnoteReference w:id="8"/>
      </w:r>
      <w:r w:rsidRPr="003E193D">
        <w:rPr>
          <w:rFonts w:ascii="Times New Roman" w:hAnsi="Times New Roman" w:cs="Times New Roman"/>
          <w:sz w:val="24"/>
          <w:szCs w:val="24"/>
        </w:rPr>
        <w:t xml:space="preserve">  In the context of an action by a creditor against a debtor and guarantor on loan agreements, </w:t>
      </w:r>
      <w:r w:rsidR="004A63DE" w:rsidRPr="003E193D">
        <w:rPr>
          <w:rFonts w:ascii="Times New Roman" w:hAnsi="Times New Roman" w:cs="Times New Roman"/>
          <w:sz w:val="24"/>
          <w:szCs w:val="24"/>
        </w:rPr>
        <w:t xml:space="preserve">the court noted that before partial failure of performance of one party will excuse the other from performing his contract or give him a right of rescission, the act failed to be performed must go to the root of the contract.   </w:t>
      </w:r>
      <w:r w:rsidR="004A63DE" w:rsidRPr="003E193D">
        <w:rPr>
          <w:rFonts w:ascii="Times New Roman" w:hAnsi="Times New Roman" w:cs="Times New Roman"/>
          <w:b/>
          <w:sz w:val="24"/>
          <w:szCs w:val="24"/>
        </w:rPr>
        <w:t>Practice Pointer:  A non-material failure to perform a contract does not excuse the nonperformance of the other party</w:t>
      </w:r>
      <w:r w:rsidR="004A63DE" w:rsidRPr="003E193D">
        <w:rPr>
          <w:rFonts w:ascii="Times New Roman" w:hAnsi="Times New Roman" w:cs="Times New Roman"/>
          <w:sz w:val="24"/>
          <w:szCs w:val="24"/>
        </w:rPr>
        <w:t>.</w:t>
      </w:r>
    </w:p>
    <w:p w:rsidR="00232CF4" w:rsidRPr="003E193D" w:rsidRDefault="00232CF4" w:rsidP="00E034DD">
      <w:pPr>
        <w:pStyle w:val="ListParagraph"/>
        <w:numPr>
          <w:ilvl w:val="0"/>
          <w:numId w:val="11"/>
        </w:num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u w:val="single"/>
        </w:rPr>
        <w:lastRenderedPageBreak/>
        <w:t>Avery v. Grubb, et al</w:t>
      </w:r>
      <w:r w:rsidRPr="003E193D">
        <w:rPr>
          <w:rFonts w:ascii="Times New Roman" w:hAnsi="Times New Roman" w:cs="Times New Roman"/>
          <w:sz w:val="24"/>
          <w:szCs w:val="24"/>
        </w:rPr>
        <w:t>.:</w:t>
      </w:r>
      <w:r w:rsidRPr="003E193D">
        <w:rPr>
          <w:rStyle w:val="FootnoteReference"/>
          <w:rFonts w:ascii="Times New Roman" w:hAnsi="Times New Roman" w:cs="Times New Roman"/>
          <w:sz w:val="24"/>
          <w:szCs w:val="24"/>
        </w:rPr>
        <w:footnoteReference w:id="9"/>
      </w:r>
      <w:r w:rsidR="00844CFD" w:rsidRPr="003E193D">
        <w:rPr>
          <w:rFonts w:ascii="Times New Roman" w:hAnsi="Times New Roman" w:cs="Times New Roman"/>
          <w:sz w:val="24"/>
          <w:szCs w:val="24"/>
        </w:rPr>
        <w:t xml:space="preserve">  </w:t>
      </w:r>
      <w:r w:rsidR="00D31A84" w:rsidRPr="003E193D">
        <w:rPr>
          <w:rFonts w:ascii="Times New Roman" w:hAnsi="Times New Roman" w:cs="Times New Roman"/>
          <w:sz w:val="24"/>
          <w:szCs w:val="24"/>
        </w:rPr>
        <w:t xml:space="preserve">In a dispute with a trustee of a trust, </w:t>
      </w:r>
      <w:r w:rsidR="00A02CB0" w:rsidRPr="003E193D">
        <w:rPr>
          <w:rFonts w:ascii="Times New Roman" w:hAnsi="Times New Roman" w:cs="Times New Roman"/>
          <w:sz w:val="24"/>
          <w:szCs w:val="24"/>
        </w:rPr>
        <w:t xml:space="preserve">plaintiff sued the trustee claiming breach of fiduciary duty and seeking a temporary restraining order and removal of the trustee.  </w:t>
      </w:r>
      <w:r w:rsidR="00DA3B43" w:rsidRPr="003E193D">
        <w:rPr>
          <w:rFonts w:ascii="Times New Roman" w:hAnsi="Times New Roman" w:cs="Times New Roman"/>
          <w:sz w:val="24"/>
          <w:szCs w:val="24"/>
        </w:rPr>
        <w:t>Although the facts are n</w:t>
      </w:r>
      <w:r w:rsidR="00AF0453" w:rsidRPr="003E193D">
        <w:rPr>
          <w:rFonts w:ascii="Times New Roman" w:hAnsi="Times New Roman" w:cs="Times New Roman"/>
          <w:sz w:val="24"/>
          <w:szCs w:val="24"/>
        </w:rPr>
        <w:t>ot particularly helpful</w:t>
      </w:r>
      <w:r w:rsidR="00DA3B43" w:rsidRPr="003E193D">
        <w:rPr>
          <w:rFonts w:ascii="Times New Roman" w:hAnsi="Times New Roman" w:cs="Times New Roman"/>
          <w:sz w:val="24"/>
          <w:szCs w:val="24"/>
        </w:rPr>
        <w:t>, the</w:t>
      </w:r>
      <w:r w:rsidR="00AF0453" w:rsidRPr="003E193D">
        <w:rPr>
          <w:rFonts w:ascii="Times New Roman" w:hAnsi="Times New Roman" w:cs="Times New Roman"/>
          <w:sz w:val="24"/>
          <w:szCs w:val="24"/>
        </w:rPr>
        <w:t xml:space="preserve"> black letter law is applicable to purchase and sale agreements.  </w:t>
      </w:r>
      <w:r w:rsidR="007E61F6" w:rsidRPr="003E193D">
        <w:rPr>
          <w:rFonts w:ascii="Times New Roman" w:hAnsi="Times New Roman" w:cs="Times New Roman"/>
          <w:sz w:val="24"/>
          <w:szCs w:val="24"/>
        </w:rPr>
        <w:t>“In general, a party alleging fraudulent inducement to enter a contract has two options:  (1) affirm the contract and sue for damages from the fraud or breach; or (2) promptly rescind the contract and sue in tort for fraud.  Critical to rescission is the tender of benefits, the prompt restoration or offer to restore whatever the complaining party received by virtue of the contract.”</w:t>
      </w:r>
      <w:r w:rsidR="007E61F6" w:rsidRPr="003E193D">
        <w:rPr>
          <w:rStyle w:val="FootnoteReference"/>
          <w:rFonts w:ascii="Times New Roman" w:hAnsi="Times New Roman" w:cs="Times New Roman"/>
          <w:sz w:val="24"/>
          <w:szCs w:val="24"/>
        </w:rPr>
        <w:footnoteReference w:id="10"/>
      </w:r>
      <w:r w:rsidR="00DA3B43" w:rsidRPr="003E193D">
        <w:rPr>
          <w:rFonts w:ascii="Times New Roman" w:hAnsi="Times New Roman" w:cs="Times New Roman"/>
          <w:sz w:val="24"/>
          <w:szCs w:val="24"/>
        </w:rPr>
        <w:t xml:space="preserve">  </w:t>
      </w:r>
      <w:r w:rsidR="00703534" w:rsidRPr="003E193D">
        <w:rPr>
          <w:rFonts w:ascii="Times New Roman" w:hAnsi="Times New Roman" w:cs="Times New Roman"/>
          <w:sz w:val="24"/>
          <w:szCs w:val="24"/>
        </w:rPr>
        <w:t xml:space="preserve">In this case, by waiting a year, the defrauded party did not act “promptly” or tender the amount she received per the subject settlement </w:t>
      </w:r>
      <w:r w:rsidR="00C72ABB" w:rsidRPr="003E193D">
        <w:rPr>
          <w:rFonts w:ascii="Times New Roman" w:hAnsi="Times New Roman" w:cs="Times New Roman"/>
          <w:sz w:val="24"/>
          <w:szCs w:val="24"/>
        </w:rPr>
        <w:t>agreement.  Moreover, plaintiff</w:t>
      </w:r>
      <w:r w:rsidR="00703534" w:rsidRPr="003E193D">
        <w:rPr>
          <w:rFonts w:ascii="Times New Roman" w:hAnsi="Times New Roman" w:cs="Times New Roman"/>
          <w:sz w:val="24"/>
          <w:szCs w:val="24"/>
        </w:rPr>
        <w:t xml:space="preserve"> did not request rescission in her complaint.  </w:t>
      </w:r>
      <w:r w:rsidR="00C72ABB" w:rsidRPr="003E193D">
        <w:rPr>
          <w:rFonts w:ascii="Times New Roman" w:hAnsi="Times New Roman" w:cs="Times New Roman"/>
          <w:sz w:val="24"/>
          <w:szCs w:val="24"/>
        </w:rPr>
        <w:t xml:space="preserve">The court found that plaintiff </w:t>
      </w:r>
      <w:r w:rsidR="00DB7C8B" w:rsidRPr="003E193D">
        <w:rPr>
          <w:rFonts w:ascii="Times New Roman" w:hAnsi="Times New Roman" w:cs="Times New Roman"/>
          <w:sz w:val="24"/>
          <w:szCs w:val="24"/>
        </w:rPr>
        <w:t>affirmed the contract and the merger clause stated therein precluded a claim of fraud.</w:t>
      </w:r>
    </w:p>
    <w:p w:rsidR="00200BB3" w:rsidRPr="003E193D" w:rsidRDefault="00200BB3" w:rsidP="00122438">
      <w:pPr>
        <w:spacing w:after="0" w:line="480" w:lineRule="auto"/>
        <w:ind w:left="360" w:firstLine="360"/>
        <w:jc w:val="both"/>
        <w:rPr>
          <w:rFonts w:ascii="Times New Roman" w:hAnsi="Times New Roman" w:cs="Times New Roman"/>
          <w:sz w:val="24"/>
          <w:szCs w:val="24"/>
        </w:rPr>
      </w:pPr>
      <w:r w:rsidRPr="003E193D">
        <w:rPr>
          <w:rFonts w:ascii="Times New Roman" w:hAnsi="Times New Roman" w:cs="Times New Roman"/>
          <w:sz w:val="24"/>
          <w:szCs w:val="24"/>
        </w:rPr>
        <w:t xml:space="preserve">Now we turn to the </w:t>
      </w:r>
      <w:r w:rsidR="00122438" w:rsidRPr="003E193D">
        <w:rPr>
          <w:rFonts w:ascii="Times New Roman" w:hAnsi="Times New Roman" w:cs="Times New Roman"/>
          <w:sz w:val="24"/>
          <w:szCs w:val="24"/>
        </w:rPr>
        <w:t>specific issues that are typically involved in disputes associated with purchase and sale agreements and other real estate documentation.</w:t>
      </w:r>
    </w:p>
    <w:p w:rsidR="00AE2E5D" w:rsidRPr="003E193D" w:rsidRDefault="006405DB" w:rsidP="00AE2E5D">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Interpretat</w:t>
      </w:r>
      <w:r w:rsidR="00E5035A" w:rsidRPr="003E193D">
        <w:rPr>
          <w:rFonts w:ascii="Times New Roman" w:hAnsi="Times New Roman" w:cs="Times New Roman"/>
          <w:b/>
          <w:sz w:val="24"/>
          <w:szCs w:val="24"/>
        </w:rPr>
        <w:t>ion of Key Agreement Provisions; How Indefiniteness and Ambiguity Can Wreak Havoc.</w:t>
      </w:r>
    </w:p>
    <w:p w:rsidR="00AE2E5D" w:rsidRPr="003E193D" w:rsidRDefault="00734189" w:rsidP="00734189">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Your best defense in real estate litigation is good offense.  Precise drafting on the front end can save a lot of headaches in litigation.  A significant number of contract disputes turn on matters of the contract’s construction including the definition of a particular word or phrase, the placement of a clause within a sentence, or even the placement of a punctuation mark.  It is important to note that most, if not all, of these disputes could have been avoided at the time of the contract’s drafting with a few “simple” changes to the document.  The changes are only </w:t>
      </w:r>
      <w:r w:rsidRPr="003E193D">
        <w:rPr>
          <w:rFonts w:ascii="Times New Roman" w:hAnsi="Times New Roman" w:cs="Times New Roman"/>
          <w:sz w:val="24"/>
          <w:szCs w:val="24"/>
        </w:rPr>
        <w:lastRenderedPageBreak/>
        <w:t xml:space="preserve">“simple,” however, if the attorney has done his or her due diligence on the pitfalls of drafting, including the dangers of both indefiniteness and ambiguity.  </w:t>
      </w:r>
      <w:r w:rsidR="006C1B74" w:rsidRPr="003E193D">
        <w:rPr>
          <w:rFonts w:ascii="Times New Roman" w:hAnsi="Times New Roman" w:cs="Times New Roman"/>
          <w:sz w:val="24"/>
          <w:szCs w:val="24"/>
        </w:rPr>
        <w:t>It is extremely important for drafting attorneys to always bear in mind the specter of litigation.</w:t>
      </w:r>
      <w:r w:rsidR="00711995" w:rsidRPr="003E193D">
        <w:rPr>
          <w:rFonts w:ascii="Times New Roman" w:hAnsi="Times New Roman" w:cs="Times New Roman"/>
          <w:sz w:val="24"/>
          <w:szCs w:val="24"/>
        </w:rPr>
        <w:t xml:space="preserve">  </w:t>
      </w:r>
    </w:p>
    <w:p w:rsidR="00B250A4" w:rsidRPr="003E193D" w:rsidRDefault="00B250A4" w:rsidP="00B250A4">
      <w:pPr>
        <w:pStyle w:val="ListParagraph"/>
        <w:keepNext/>
        <w:keepLines/>
        <w:numPr>
          <w:ilvl w:val="0"/>
          <w:numId w:val="2"/>
        </w:numPr>
        <w:spacing w:after="240" w:line="240" w:lineRule="auto"/>
        <w:outlineLvl w:val="1"/>
        <w:rPr>
          <w:rFonts w:ascii="Times New Roman" w:eastAsia="Times New Roman" w:hAnsi="Times New Roman" w:cs="Times New Roman"/>
          <w:b/>
          <w:bCs/>
          <w:iCs/>
          <w:sz w:val="24"/>
          <w:szCs w:val="24"/>
        </w:rPr>
      </w:pPr>
      <w:bookmarkStart w:id="0" w:name="_Toc432082850"/>
      <w:bookmarkStart w:id="1" w:name="_Toc432082899"/>
      <w:bookmarkStart w:id="2" w:name="_Toc432082927"/>
      <w:r w:rsidRPr="003E193D">
        <w:rPr>
          <w:rFonts w:ascii="Times New Roman" w:eastAsia="Times New Roman" w:hAnsi="Times New Roman" w:cs="Times New Roman"/>
          <w:b/>
          <w:bCs/>
          <w:iCs/>
          <w:sz w:val="24"/>
          <w:szCs w:val="24"/>
        </w:rPr>
        <w:t>The Danger of Indefiniteness</w:t>
      </w:r>
      <w:bookmarkEnd w:id="0"/>
      <w:bookmarkEnd w:id="1"/>
      <w:bookmarkEnd w:id="2"/>
      <w:r w:rsidR="004F1C1F" w:rsidRPr="003E193D">
        <w:rPr>
          <w:rFonts w:ascii="Times New Roman" w:eastAsia="Times New Roman" w:hAnsi="Times New Roman" w:cs="Times New Roman"/>
          <w:b/>
          <w:bCs/>
          <w:iCs/>
          <w:sz w:val="24"/>
          <w:szCs w:val="24"/>
        </w:rPr>
        <w:t>.</w:t>
      </w:r>
    </w:p>
    <w:p w:rsidR="00B250A4" w:rsidRPr="003E193D" w:rsidRDefault="00AA236D"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“Under Georgia law, a contract does not exist unless the parties agree on all material terms.  A contract cannot be enforced if its terms are incomplete, vague, indefinite or uncertain.  Thus, a court will not enforce an agreement where it is left to ascertain the intention of the parties by conjecture.”</w:t>
      </w:r>
      <w:r w:rsidRPr="003E193D">
        <w:rPr>
          <w:rStyle w:val="FootnoteReference"/>
          <w:rFonts w:ascii="Times New Roman" w:eastAsia="Times New Roman" w:hAnsi="Times New Roman" w:cs="Times New Roman"/>
          <w:sz w:val="24"/>
          <w:szCs w:val="24"/>
        </w:rPr>
        <w:footnoteReference w:id="11"/>
      </w:r>
      <w:r w:rsidRPr="003E193D">
        <w:rPr>
          <w:rFonts w:ascii="Times New Roman" w:eastAsia="Times New Roman" w:hAnsi="Times New Roman" w:cs="Times New Roman"/>
          <w:sz w:val="24"/>
          <w:szCs w:val="24"/>
        </w:rPr>
        <w:t xml:space="preserve">  </w:t>
      </w:r>
      <w:r w:rsidR="00B250A4" w:rsidRPr="003E193D">
        <w:rPr>
          <w:rFonts w:ascii="Times New Roman" w:eastAsia="Times New Roman" w:hAnsi="Times New Roman" w:cs="Times New Roman"/>
          <w:sz w:val="24"/>
          <w:szCs w:val="24"/>
        </w:rPr>
        <w:t>As the Georgia Court of Appeals consistently has held, the test of an enforceable contract is “whether it is expressed in language sufficiently plain and explicit to convey what the parties agreed upon.”</w:t>
      </w:r>
      <w:r w:rsidR="00B250A4" w:rsidRPr="003E193D">
        <w:rPr>
          <w:rFonts w:ascii="Times New Roman" w:eastAsia="Times New Roman" w:hAnsi="Times New Roman" w:cs="Times New Roman"/>
          <w:sz w:val="24"/>
          <w:szCs w:val="24"/>
          <w:vertAlign w:val="superscript"/>
        </w:rPr>
        <w:footnoteReference w:id="12"/>
      </w:r>
      <w:r w:rsidR="00B250A4" w:rsidRPr="003E193D">
        <w:rPr>
          <w:rFonts w:ascii="Times New Roman" w:eastAsia="Times New Roman" w:hAnsi="Times New Roman" w:cs="Times New Roman"/>
          <w:sz w:val="24"/>
          <w:szCs w:val="24"/>
        </w:rPr>
        <w:t xml:space="preserve">  The time and subject matter of the agreement must be clear from the language used in the contract.  Language that is indefinite, uncertain, or vague may render the contractual provision, or even the entire contract, unenforceable.  “[I]ndefiniteness in subject matter so extreme as not to present anything upon which the contract may operate in a definite manner renders the contract void.”</w:t>
      </w:r>
      <w:r w:rsidR="00B250A4" w:rsidRPr="003E193D">
        <w:rPr>
          <w:rFonts w:ascii="Times New Roman" w:eastAsia="Times New Roman" w:hAnsi="Times New Roman" w:cs="Times New Roman"/>
          <w:sz w:val="24"/>
          <w:szCs w:val="24"/>
          <w:vertAlign w:val="superscript"/>
        </w:rPr>
        <w:footnoteReference w:id="13"/>
      </w:r>
      <w:r w:rsidR="00B250A4" w:rsidRPr="003E193D">
        <w:rPr>
          <w:rFonts w:ascii="Times New Roman" w:eastAsia="Times New Roman" w:hAnsi="Times New Roman" w:cs="Times New Roman"/>
          <w:sz w:val="24"/>
          <w:szCs w:val="24"/>
        </w:rPr>
        <w:t xml:space="preserve">  </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 xml:space="preserve">For example, in </w:t>
      </w:r>
      <w:r w:rsidRPr="003E193D">
        <w:rPr>
          <w:rFonts w:ascii="Times New Roman" w:eastAsia="Times New Roman" w:hAnsi="Times New Roman" w:cs="Times New Roman"/>
          <w:iCs/>
          <w:sz w:val="24"/>
          <w:szCs w:val="24"/>
          <w:u w:val="single"/>
        </w:rPr>
        <w:t>AMB Property, L.P. v. MTS, Inc.</w:t>
      </w:r>
      <w:r w:rsidRPr="003E193D">
        <w:rPr>
          <w:rFonts w:ascii="Times New Roman" w:eastAsia="Times New Roman" w:hAnsi="Times New Roman" w:cs="Times New Roman"/>
          <w:sz w:val="24"/>
          <w:szCs w:val="24"/>
        </w:rPr>
        <w:t xml:space="preserve">, the Court of Appeals held unenforceable a renewal provision setting the new rental rate as “the greater of (1) the base rent for the last year of the original term or (2) </w:t>
      </w:r>
      <w:r w:rsidRPr="003E193D">
        <w:rPr>
          <w:rFonts w:ascii="Times New Roman" w:eastAsia="Times New Roman" w:hAnsi="Times New Roman" w:cs="Times New Roman"/>
          <w:i/>
          <w:iCs/>
          <w:sz w:val="24"/>
          <w:szCs w:val="24"/>
        </w:rPr>
        <w:t>the then existing market rental rate for comparable shopping centers</w:t>
      </w:r>
      <w:r w:rsidRPr="003E193D">
        <w:rPr>
          <w:rFonts w:ascii="Times New Roman" w:eastAsia="Times New Roman" w:hAnsi="Times New Roman" w:cs="Times New Roman"/>
          <w:sz w:val="24"/>
          <w:szCs w:val="24"/>
        </w:rPr>
        <w:t>.”</w:t>
      </w:r>
      <w:r w:rsidRPr="003E193D">
        <w:rPr>
          <w:rFonts w:ascii="Times New Roman" w:eastAsia="Times New Roman" w:hAnsi="Times New Roman" w:cs="Times New Roman"/>
          <w:sz w:val="24"/>
          <w:szCs w:val="24"/>
          <w:vertAlign w:val="superscript"/>
        </w:rPr>
        <w:footnoteReference w:id="14"/>
      </w:r>
      <w:r w:rsidRPr="003E193D">
        <w:rPr>
          <w:rFonts w:ascii="Times New Roman" w:eastAsia="Times New Roman" w:hAnsi="Times New Roman" w:cs="Times New Roman"/>
          <w:sz w:val="24"/>
          <w:szCs w:val="24"/>
        </w:rPr>
        <w:t xml:space="preserve">   Rather than merely striking the vague language and enforcing the remainder of the provision, the Court held that the reference to the “market rental rate” was such an integral part of the renewal provision that no portion of the provision should be enforced.</w:t>
      </w:r>
      <w:r w:rsidRPr="003E193D">
        <w:rPr>
          <w:rFonts w:ascii="Times New Roman" w:eastAsia="Times New Roman" w:hAnsi="Times New Roman" w:cs="Times New Roman"/>
          <w:sz w:val="24"/>
          <w:szCs w:val="24"/>
          <w:vertAlign w:val="superscript"/>
        </w:rPr>
        <w:footnoteReference w:id="15"/>
      </w:r>
      <w:r w:rsidRPr="003E193D">
        <w:rPr>
          <w:rFonts w:ascii="Times New Roman" w:eastAsia="Times New Roman" w:hAnsi="Times New Roman" w:cs="Times New Roman"/>
          <w:sz w:val="24"/>
          <w:szCs w:val="24"/>
        </w:rPr>
        <w:t xml:space="preserve">     </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lastRenderedPageBreak/>
        <w:t xml:space="preserve">In </w:t>
      </w:r>
      <w:r w:rsidRPr="003E193D">
        <w:rPr>
          <w:rFonts w:ascii="Times New Roman" w:eastAsia="Times New Roman" w:hAnsi="Times New Roman" w:cs="Times New Roman"/>
          <w:iCs/>
          <w:sz w:val="24"/>
          <w:szCs w:val="24"/>
          <w:u w:val="single"/>
        </w:rPr>
        <w:t>Farmer v. Argenta</w:t>
      </w:r>
      <w:r w:rsidRPr="003E193D">
        <w:rPr>
          <w:rFonts w:ascii="Times New Roman" w:eastAsia="Times New Roman" w:hAnsi="Times New Roman" w:cs="Times New Roman"/>
          <w:sz w:val="24"/>
          <w:szCs w:val="24"/>
        </w:rPr>
        <w:t xml:space="preserve">, the Court of Appeals went one step further when addressing the enforceability of the following stipulation in a real estate sales contract: “30 days after closing seller will pay buyer rent in the amount of the mortgage payment, taxes and insurance included if escrowed in an amount not to exceed $300.00 per month </w:t>
      </w:r>
      <w:r w:rsidRPr="003E193D">
        <w:rPr>
          <w:rFonts w:ascii="Times New Roman" w:eastAsia="Times New Roman" w:hAnsi="Times New Roman" w:cs="Times New Roman"/>
          <w:i/>
          <w:iCs/>
          <w:sz w:val="24"/>
          <w:szCs w:val="24"/>
        </w:rPr>
        <w:t>as long as necessary until seller finds another home</w:t>
      </w:r>
      <w:r w:rsidRPr="003E193D">
        <w:rPr>
          <w:rFonts w:ascii="Times New Roman" w:eastAsia="Times New Roman" w:hAnsi="Times New Roman" w:cs="Times New Roman"/>
          <w:sz w:val="24"/>
          <w:szCs w:val="24"/>
        </w:rPr>
        <w:t>.”</w:t>
      </w:r>
      <w:r w:rsidRPr="003E193D">
        <w:rPr>
          <w:rFonts w:ascii="Times New Roman" w:eastAsia="Times New Roman" w:hAnsi="Times New Roman" w:cs="Times New Roman"/>
          <w:sz w:val="24"/>
          <w:szCs w:val="24"/>
          <w:vertAlign w:val="superscript"/>
        </w:rPr>
        <w:footnoteReference w:id="16"/>
      </w:r>
      <w:r w:rsidRPr="003E193D">
        <w:rPr>
          <w:rFonts w:ascii="Times New Roman" w:eastAsia="Times New Roman" w:hAnsi="Times New Roman" w:cs="Times New Roman"/>
          <w:sz w:val="24"/>
          <w:szCs w:val="24"/>
        </w:rPr>
        <w:t xml:space="preserve">  The Court determined that the phrase “as long as necessary until seller finds another home” was too indefinite to be enforced, and further held that the indefinite term was so material to the sales agreement that its indefiniteness rendered the entire contract unenforceable.</w:t>
      </w:r>
      <w:r w:rsidRPr="003E193D">
        <w:rPr>
          <w:rFonts w:ascii="Times New Roman" w:eastAsia="Times New Roman" w:hAnsi="Times New Roman" w:cs="Times New Roman"/>
          <w:sz w:val="24"/>
          <w:szCs w:val="24"/>
          <w:vertAlign w:val="superscript"/>
        </w:rPr>
        <w:footnoteReference w:id="17"/>
      </w:r>
      <w:r w:rsidRPr="003E193D">
        <w:rPr>
          <w:rFonts w:ascii="Times New Roman" w:eastAsia="Times New Roman" w:hAnsi="Times New Roman" w:cs="Times New Roman"/>
          <w:sz w:val="24"/>
          <w:szCs w:val="24"/>
        </w:rPr>
        <w:t xml:space="preserve">  Georgia courts can either strike an invalid term or find that the invalid provision renders the entire contract void.</w:t>
      </w:r>
      <w:r w:rsidRPr="003E193D">
        <w:rPr>
          <w:rFonts w:ascii="Times New Roman" w:eastAsia="Times New Roman" w:hAnsi="Times New Roman" w:cs="Times New Roman"/>
          <w:sz w:val="24"/>
          <w:szCs w:val="24"/>
          <w:vertAlign w:val="superscript"/>
        </w:rPr>
        <w:footnoteReference w:id="18"/>
      </w:r>
      <w:r w:rsidRPr="003E193D">
        <w:rPr>
          <w:rFonts w:ascii="Times New Roman" w:eastAsia="Times New Roman" w:hAnsi="Times New Roman" w:cs="Times New Roman"/>
          <w:sz w:val="24"/>
          <w:szCs w:val="24"/>
        </w:rPr>
        <w:t xml:space="preserve">  In making this determination, the court will consider the intent of the parties as evidenced by the terms of the agreement.  “If it appears that the contract was to take the whole or none, then the contract would be entire.”</w:t>
      </w:r>
      <w:r w:rsidRPr="003E193D">
        <w:rPr>
          <w:rFonts w:ascii="Times New Roman" w:eastAsia="Times New Roman" w:hAnsi="Times New Roman" w:cs="Times New Roman"/>
          <w:sz w:val="24"/>
          <w:szCs w:val="24"/>
          <w:vertAlign w:val="superscript"/>
        </w:rPr>
        <w:footnoteReference w:id="19"/>
      </w:r>
      <w:r w:rsidRPr="003E193D">
        <w:rPr>
          <w:rFonts w:ascii="Times New Roman" w:eastAsia="Times New Roman" w:hAnsi="Times New Roman" w:cs="Times New Roman"/>
          <w:sz w:val="24"/>
          <w:szCs w:val="24"/>
        </w:rPr>
        <w:t xml:space="preserve">  For example, if it appears that the parties intended to sell an entire piece of land through a purchase and sale agreement, then an invalid term could render the entire contract void.</w:t>
      </w:r>
      <w:r w:rsidRPr="003E193D">
        <w:rPr>
          <w:rFonts w:ascii="Times New Roman" w:eastAsia="Times New Roman" w:hAnsi="Times New Roman" w:cs="Times New Roman"/>
          <w:sz w:val="24"/>
          <w:szCs w:val="24"/>
          <w:vertAlign w:val="superscript"/>
        </w:rPr>
        <w:footnoteReference w:id="20"/>
      </w:r>
      <w:r w:rsidRPr="003E193D">
        <w:rPr>
          <w:rFonts w:ascii="Times New Roman" w:eastAsia="Times New Roman" w:hAnsi="Times New Roman" w:cs="Times New Roman"/>
          <w:sz w:val="24"/>
          <w:szCs w:val="24"/>
        </w:rPr>
        <w:t xml:space="preserve">   </w:t>
      </w:r>
    </w:p>
    <w:p w:rsidR="00B250A4" w:rsidRPr="003E193D" w:rsidRDefault="00B250A4" w:rsidP="00B250A4">
      <w:pPr>
        <w:pStyle w:val="ListParagraph"/>
        <w:keepNext/>
        <w:keepLines/>
        <w:numPr>
          <w:ilvl w:val="0"/>
          <w:numId w:val="2"/>
        </w:numPr>
        <w:spacing w:after="240" w:line="240" w:lineRule="auto"/>
        <w:outlineLvl w:val="1"/>
        <w:rPr>
          <w:rFonts w:ascii="Times New Roman" w:eastAsia="Times New Roman" w:hAnsi="Times New Roman" w:cs="Times New Roman"/>
          <w:b/>
          <w:bCs/>
          <w:iCs/>
          <w:sz w:val="24"/>
          <w:szCs w:val="24"/>
        </w:rPr>
      </w:pPr>
      <w:bookmarkStart w:id="3" w:name="_Toc432082851"/>
      <w:bookmarkStart w:id="4" w:name="_Toc432082900"/>
      <w:bookmarkStart w:id="5" w:name="_Toc432082928"/>
      <w:r w:rsidRPr="003E193D">
        <w:rPr>
          <w:rFonts w:ascii="Times New Roman" w:eastAsia="Times New Roman" w:hAnsi="Times New Roman" w:cs="Times New Roman"/>
          <w:b/>
          <w:bCs/>
          <w:iCs/>
          <w:sz w:val="24"/>
          <w:szCs w:val="24"/>
        </w:rPr>
        <w:t>The Danger of Ambiguity</w:t>
      </w:r>
      <w:bookmarkEnd w:id="3"/>
      <w:bookmarkEnd w:id="4"/>
      <w:bookmarkEnd w:id="5"/>
      <w:r w:rsidR="004F1C1F" w:rsidRPr="003E193D">
        <w:rPr>
          <w:rFonts w:ascii="Times New Roman" w:eastAsia="Times New Roman" w:hAnsi="Times New Roman" w:cs="Times New Roman"/>
          <w:b/>
          <w:bCs/>
          <w:iCs/>
          <w:sz w:val="24"/>
          <w:szCs w:val="24"/>
        </w:rPr>
        <w:t>.</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Even if a provision does not contain terms too indefinite, uncertain, or vague to enforce, a term or phrase of the contract may be capable of more than one reasonable interpretation, thereby creating ambiguity.  In Georgia, the threshold question for the court in matters of contract interpretation is whether or not the language of a disputed contractual provision is ambiguous.</w:t>
      </w:r>
      <w:r w:rsidRPr="003E193D">
        <w:rPr>
          <w:rFonts w:ascii="Times New Roman" w:eastAsia="Times New Roman" w:hAnsi="Times New Roman" w:cs="Times New Roman"/>
          <w:sz w:val="24"/>
          <w:szCs w:val="24"/>
          <w:vertAlign w:val="superscript"/>
        </w:rPr>
        <w:footnoteReference w:id="21"/>
      </w:r>
      <w:r w:rsidRPr="003E193D">
        <w:rPr>
          <w:rFonts w:ascii="Times New Roman" w:eastAsia="Times New Roman" w:hAnsi="Times New Roman" w:cs="Times New Roman"/>
          <w:sz w:val="24"/>
          <w:szCs w:val="24"/>
        </w:rPr>
        <w:t xml:space="preserve">  “Ambiguity exists when a contract is uncertain of meaning, duplicitous, and indistinct; or when a </w:t>
      </w:r>
      <w:r w:rsidRPr="003E193D">
        <w:rPr>
          <w:rFonts w:ascii="Times New Roman" w:eastAsia="Times New Roman" w:hAnsi="Times New Roman" w:cs="Times New Roman"/>
          <w:sz w:val="24"/>
          <w:szCs w:val="24"/>
        </w:rPr>
        <w:lastRenderedPageBreak/>
        <w:t>word or phrase may be fairly understood in more than one way.”</w:t>
      </w:r>
      <w:r w:rsidRPr="003E193D">
        <w:rPr>
          <w:rFonts w:ascii="Times New Roman" w:eastAsia="Times New Roman" w:hAnsi="Times New Roman" w:cs="Times New Roman"/>
          <w:sz w:val="24"/>
          <w:szCs w:val="24"/>
          <w:vertAlign w:val="superscript"/>
        </w:rPr>
        <w:footnoteReference w:id="22"/>
      </w:r>
      <w:r w:rsidRPr="003E193D">
        <w:rPr>
          <w:rFonts w:ascii="Times New Roman" w:eastAsia="Times New Roman" w:hAnsi="Times New Roman" w:cs="Times New Roman"/>
          <w:sz w:val="24"/>
          <w:szCs w:val="24"/>
        </w:rPr>
        <w:t xml:space="preserve">  The court first considers the language contained in the “four corners” of the document when deciding whether a provision is ambiguous.</w:t>
      </w:r>
      <w:r w:rsidRPr="003E193D">
        <w:rPr>
          <w:rFonts w:ascii="Times New Roman" w:eastAsia="Times New Roman" w:hAnsi="Times New Roman" w:cs="Times New Roman"/>
          <w:sz w:val="24"/>
          <w:szCs w:val="24"/>
          <w:vertAlign w:val="superscript"/>
        </w:rPr>
        <w:footnoteReference w:id="23"/>
      </w:r>
      <w:r w:rsidRPr="003E193D">
        <w:rPr>
          <w:rFonts w:ascii="Times New Roman" w:eastAsia="Times New Roman" w:hAnsi="Times New Roman" w:cs="Times New Roman"/>
          <w:sz w:val="24"/>
          <w:szCs w:val="24"/>
        </w:rPr>
        <w:t xml:space="preserve">  If the court determines that the contract language is unambiguous, the contract is enforced as plainly written.  </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If, after considering the language of the “four corners” of the agreement, the court finds that there is still the potential for ambiguity, then the court applies the rules of construction.  The Georgia Code sets out some of the rules of construction employed by the court.  These rules of construction provide that:  parol evidence may be used to interpret a contract; words generally bear their usual meaning unless they are words of art or technical words; business custom may be considered when universally accepted; terms should be read to give effect to the entire contract; the contract should be read against the party that prepared the agreement; the rules of grammar usually govern; handwritten terms are given more effect than printed terms; grants by implication are not favored; and time is generally not of the essence.</w:t>
      </w:r>
      <w:r w:rsidRPr="003E193D">
        <w:rPr>
          <w:rFonts w:ascii="Times New Roman" w:eastAsia="Times New Roman" w:hAnsi="Times New Roman" w:cs="Times New Roman"/>
          <w:sz w:val="24"/>
          <w:szCs w:val="24"/>
          <w:vertAlign w:val="superscript"/>
        </w:rPr>
        <w:footnoteReference w:id="24"/>
      </w:r>
      <w:r w:rsidRPr="003E193D">
        <w:rPr>
          <w:rFonts w:ascii="Times New Roman" w:eastAsia="Times New Roman" w:hAnsi="Times New Roman" w:cs="Times New Roman"/>
          <w:sz w:val="24"/>
          <w:szCs w:val="24"/>
        </w:rPr>
        <w:t xml:space="preserve">  If, after applying the rules of construction, there is still ambiguity in the contract, the court will submit the issue to a jury to resolve the ambiguity.</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Even if the parties intended the provision to mean something different than what is stated in the contract, the court will apply the terms of the contract if they are not contradicted by other terms, and capable of only one reasonable interpretation.</w:t>
      </w:r>
      <w:r w:rsidRPr="003E193D">
        <w:rPr>
          <w:rFonts w:ascii="Times New Roman" w:eastAsia="Times New Roman" w:hAnsi="Times New Roman" w:cs="Times New Roman"/>
          <w:sz w:val="24"/>
          <w:szCs w:val="24"/>
          <w:vertAlign w:val="superscript"/>
        </w:rPr>
        <w:footnoteReference w:id="25"/>
      </w:r>
      <w:r w:rsidRPr="003E193D">
        <w:rPr>
          <w:rFonts w:ascii="Times New Roman" w:eastAsia="Times New Roman" w:hAnsi="Times New Roman" w:cs="Times New Roman"/>
          <w:sz w:val="24"/>
          <w:szCs w:val="24"/>
        </w:rPr>
        <w:t xml:space="preserve">   In </w:t>
      </w:r>
      <w:r w:rsidRPr="003E193D">
        <w:rPr>
          <w:rFonts w:ascii="Times New Roman" w:eastAsia="Times New Roman" w:hAnsi="Times New Roman" w:cs="Times New Roman"/>
          <w:iCs/>
          <w:sz w:val="24"/>
          <w:szCs w:val="24"/>
          <w:u w:val="single"/>
        </w:rPr>
        <w:t>Bronner Bros. Mfg., Inc. v. Russell</w:t>
      </w:r>
      <w:r w:rsidRPr="003E193D">
        <w:rPr>
          <w:rFonts w:ascii="Times New Roman" w:eastAsia="Times New Roman" w:hAnsi="Times New Roman" w:cs="Times New Roman"/>
          <w:iCs/>
          <w:sz w:val="24"/>
          <w:szCs w:val="24"/>
        </w:rPr>
        <w:t xml:space="preserve">, </w:t>
      </w:r>
      <w:r w:rsidRPr="003E193D">
        <w:rPr>
          <w:rFonts w:ascii="Times New Roman" w:eastAsia="Times New Roman" w:hAnsi="Times New Roman" w:cs="Times New Roman"/>
          <w:sz w:val="24"/>
          <w:szCs w:val="24"/>
        </w:rPr>
        <w:t>the Court of Appeals addressed an employment contract provision setting a salesman’s base salary at $25,000 plus “</w:t>
      </w:r>
      <w:r w:rsidRPr="003E193D">
        <w:rPr>
          <w:rFonts w:ascii="Times New Roman" w:eastAsia="Times New Roman" w:hAnsi="Times New Roman" w:cs="Times New Roman"/>
          <w:i/>
          <w:iCs/>
          <w:sz w:val="24"/>
          <w:szCs w:val="24"/>
        </w:rPr>
        <w:t>2% on all orders generated other than personally initiated</w:t>
      </w:r>
      <w:r w:rsidRPr="003E193D">
        <w:rPr>
          <w:rFonts w:ascii="Times New Roman" w:eastAsia="Times New Roman" w:hAnsi="Times New Roman" w:cs="Times New Roman"/>
          <w:sz w:val="24"/>
          <w:szCs w:val="24"/>
        </w:rPr>
        <w:t xml:space="preserve"> by [the </w:t>
      </w:r>
      <w:r w:rsidRPr="003E193D">
        <w:rPr>
          <w:rFonts w:ascii="Times New Roman" w:eastAsia="Times New Roman" w:hAnsi="Times New Roman" w:cs="Times New Roman"/>
          <w:sz w:val="24"/>
          <w:szCs w:val="24"/>
        </w:rPr>
        <w:lastRenderedPageBreak/>
        <w:t>salesman].”</w:t>
      </w:r>
      <w:r w:rsidRPr="003E193D">
        <w:rPr>
          <w:rFonts w:ascii="Times New Roman" w:eastAsia="Times New Roman" w:hAnsi="Times New Roman" w:cs="Times New Roman"/>
          <w:sz w:val="24"/>
          <w:szCs w:val="24"/>
          <w:vertAlign w:val="superscript"/>
        </w:rPr>
        <w:footnoteReference w:id="26"/>
      </w:r>
      <w:r w:rsidRPr="003E193D">
        <w:rPr>
          <w:rFonts w:ascii="Times New Roman" w:eastAsia="Times New Roman" w:hAnsi="Times New Roman" w:cs="Times New Roman"/>
          <w:sz w:val="24"/>
          <w:szCs w:val="24"/>
        </w:rPr>
        <w:t>  Because the provision, as stated, allowed the salesman a two</w:t>
      </w:r>
      <w:r w:rsidRPr="003E193D">
        <w:rPr>
          <w:rFonts w:ascii="Times New Roman" w:eastAsia="Times New Roman" w:hAnsi="Times New Roman" w:cs="Times New Roman"/>
          <w:color w:val="000000"/>
          <w:sz w:val="24"/>
          <w:szCs w:val="24"/>
          <w:shd w:val="clear" w:color="auto" w:fill="FFFFFF"/>
        </w:rPr>
        <w:t xml:space="preserve"> percent commission on </w:t>
      </w:r>
      <w:r w:rsidRPr="003E193D">
        <w:rPr>
          <w:rFonts w:ascii="Times New Roman" w:eastAsia="Times New Roman" w:hAnsi="Times New Roman" w:cs="Times New Roman"/>
          <w:iCs/>
          <w:color w:val="000000"/>
          <w:sz w:val="24"/>
          <w:szCs w:val="24"/>
          <w:shd w:val="clear" w:color="auto" w:fill="FFFFFF"/>
        </w:rPr>
        <w:t>all orders other than those personally initiated by him</w:t>
      </w:r>
      <w:r w:rsidRPr="003E193D">
        <w:rPr>
          <w:rFonts w:ascii="Times New Roman" w:eastAsia="Times New Roman" w:hAnsi="Times New Roman" w:cs="Times New Roman"/>
          <w:sz w:val="24"/>
          <w:szCs w:val="24"/>
        </w:rPr>
        <w:t>, the employer asked the court to insert a comma after the word “personally.”  The court found that such an insertion, “in addition to arbitrarily rewriting the contract, would create nonsense, and make ambiguous what was not.”</w:t>
      </w:r>
      <w:r w:rsidRPr="003E193D">
        <w:rPr>
          <w:rFonts w:ascii="Times New Roman" w:eastAsia="Times New Roman" w:hAnsi="Times New Roman" w:cs="Times New Roman"/>
          <w:sz w:val="24"/>
          <w:szCs w:val="24"/>
          <w:vertAlign w:val="superscript"/>
        </w:rPr>
        <w:footnoteReference w:id="27"/>
      </w:r>
      <w:r w:rsidRPr="003E193D">
        <w:rPr>
          <w:rFonts w:ascii="Times New Roman" w:eastAsia="Times New Roman" w:hAnsi="Times New Roman" w:cs="Times New Roman"/>
          <w:sz w:val="24"/>
          <w:szCs w:val="24"/>
        </w:rPr>
        <w:t xml:space="preserve">  The Court conceded that the provision was “not a brilliant specimen of draftsmanship,” but ultimately held that it was not ambiguous.  Therefore, the Court refused to consider the existing evidence that the parties had never intended for the salesman to get a two percent commission on sales that were not his own.</w:t>
      </w:r>
      <w:r w:rsidRPr="003E193D">
        <w:rPr>
          <w:rFonts w:ascii="Times New Roman" w:eastAsia="Times New Roman" w:hAnsi="Times New Roman" w:cs="Times New Roman"/>
          <w:sz w:val="24"/>
          <w:szCs w:val="24"/>
          <w:vertAlign w:val="superscript"/>
        </w:rPr>
        <w:footnoteReference w:id="28"/>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 xml:space="preserve">When considering a contract provision, a court properly may determine that a seemingly clear and unambiguous provision is in fact ambiguous because of the existence of a conflicting provision within the contract.  For example, in </w:t>
      </w:r>
      <w:r w:rsidRPr="003E193D">
        <w:rPr>
          <w:rFonts w:ascii="Times New Roman" w:eastAsia="Times New Roman" w:hAnsi="Times New Roman" w:cs="Times New Roman"/>
          <w:iCs/>
          <w:sz w:val="24"/>
          <w:szCs w:val="24"/>
          <w:u w:val="single"/>
        </w:rPr>
        <w:t>Coker v. Coker</w:t>
      </w:r>
      <w:r w:rsidRPr="003E193D">
        <w:rPr>
          <w:rFonts w:ascii="Times New Roman" w:eastAsia="Times New Roman" w:hAnsi="Times New Roman" w:cs="Times New Roman"/>
          <w:sz w:val="24"/>
          <w:szCs w:val="24"/>
        </w:rPr>
        <w:t>, the Court of Appeals determined that an otherwise clear right-of-first-refusal provision was ambiguous because it conflicted with other contractual provisions.</w:t>
      </w:r>
      <w:r w:rsidRPr="003E193D">
        <w:rPr>
          <w:rFonts w:ascii="Times New Roman" w:eastAsia="Times New Roman" w:hAnsi="Times New Roman" w:cs="Times New Roman"/>
          <w:sz w:val="24"/>
          <w:szCs w:val="24"/>
          <w:vertAlign w:val="superscript"/>
        </w:rPr>
        <w:footnoteReference w:id="29"/>
      </w:r>
      <w:r w:rsidRPr="003E193D">
        <w:rPr>
          <w:rFonts w:ascii="Times New Roman" w:eastAsia="Times New Roman" w:hAnsi="Times New Roman" w:cs="Times New Roman"/>
          <w:sz w:val="24"/>
          <w:szCs w:val="24"/>
        </w:rPr>
        <w:t xml:space="preserve">  While the right-of-first refusal provision contemplated third party offers for the entire property, other relevant contractual provisions contemplated third party offers for mere portions of the property.</w:t>
      </w:r>
      <w:r w:rsidRPr="003E193D">
        <w:rPr>
          <w:rFonts w:ascii="Times New Roman" w:eastAsia="Times New Roman" w:hAnsi="Times New Roman" w:cs="Times New Roman"/>
          <w:sz w:val="24"/>
          <w:szCs w:val="24"/>
          <w:vertAlign w:val="superscript"/>
        </w:rPr>
        <w:footnoteReference w:id="30"/>
      </w:r>
      <w:r w:rsidRPr="003E193D">
        <w:rPr>
          <w:rFonts w:ascii="Times New Roman" w:eastAsia="Times New Roman" w:hAnsi="Times New Roman" w:cs="Times New Roman"/>
          <w:sz w:val="24"/>
          <w:szCs w:val="24"/>
        </w:rPr>
        <w:t xml:space="preserve">  Consequently, the Court read into the right-of-first refusal provision the parties’ intent to include offers for only a portion of the property.</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If the Court determines that a provision is potentially ambiguous, then the court turns to the rules of construction in order to determine the parties’ intent in drafting the provision.</w:t>
      </w:r>
      <w:r w:rsidRPr="003E193D">
        <w:rPr>
          <w:rFonts w:ascii="Times New Roman" w:eastAsia="Times New Roman" w:hAnsi="Times New Roman" w:cs="Times New Roman"/>
          <w:sz w:val="24"/>
          <w:szCs w:val="24"/>
          <w:vertAlign w:val="superscript"/>
        </w:rPr>
        <w:footnoteReference w:id="31"/>
      </w:r>
      <w:r w:rsidRPr="003E193D">
        <w:rPr>
          <w:rFonts w:ascii="Times New Roman" w:eastAsia="Times New Roman" w:hAnsi="Times New Roman" w:cs="Times New Roman"/>
          <w:sz w:val="24"/>
          <w:szCs w:val="24"/>
        </w:rPr>
        <w:t xml:space="preserve">  In </w:t>
      </w:r>
      <w:r w:rsidRPr="003E193D">
        <w:rPr>
          <w:rFonts w:ascii="Times New Roman" w:eastAsia="Times New Roman" w:hAnsi="Times New Roman" w:cs="Times New Roman"/>
          <w:iCs/>
          <w:sz w:val="24"/>
          <w:szCs w:val="24"/>
          <w:u w:val="single"/>
        </w:rPr>
        <w:t>Western Pacific Mut. Ins. Co. v. Davies</w:t>
      </w:r>
      <w:r w:rsidRPr="003E193D">
        <w:rPr>
          <w:rFonts w:ascii="Times New Roman" w:eastAsia="Times New Roman" w:hAnsi="Times New Roman" w:cs="Times New Roman"/>
          <w:sz w:val="24"/>
          <w:szCs w:val="24"/>
        </w:rPr>
        <w:t xml:space="preserve">, the Court considered how to interpret the word </w:t>
      </w:r>
      <w:r w:rsidRPr="003E193D">
        <w:rPr>
          <w:rFonts w:ascii="Times New Roman" w:eastAsia="Times New Roman" w:hAnsi="Times New Roman" w:cs="Times New Roman"/>
          <w:sz w:val="24"/>
          <w:szCs w:val="24"/>
        </w:rPr>
        <w:lastRenderedPageBreak/>
        <w:t>“failure.”</w:t>
      </w:r>
      <w:r w:rsidRPr="003E193D">
        <w:rPr>
          <w:rFonts w:ascii="Times New Roman" w:eastAsia="Times New Roman" w:hAnsi="Times New Roman" w:cs="Times New Roman"/>
          <w:sz w:val="24"/>
          <w:szCs w:val="24"/>
          <w:vertAlign w:val="superscript"/>
        </w:rPr>
        <w:footnoteReference w:id="32"/>
      </w:r>
      <w:r w:rsidRPr="003E193D">
        <w:rPr>
          <w:rFonts w:ascii="Times New Roman" w:eastAsia="Times New Roman" w:hAnsi="Times New Roman" w:cs="Times New Roman"/>
          <w:sz w:val="24"/>
          <w:szCs w:val="24"/>
        </w:rPr>
        <w:t xml:space="preserve">  Where a disputed term or phrase is not otherwise defined by the contract, a court will give the words their ordinary meaning as defined by dictionaries.</w:t>
      </w:r>
      <w:r w:rsidRPr="003E193D">
        <w:rPr>
          <w:rFonts w:ascii="Times New Roman" w:eastAsia="Times New Roman" w:hAnsi="Times New Roman" w:cs="Times New Roman"/>
          <w:sz w:val="24"/>
          <w:szCs w:val="24"/>
          <w:vertAlign w:val="superscript"/>
        </w:rPr>
        <w:footnoteReference w:id="33"/>
      </w:r>
      <w:r w:rsidRPr="003E193D">
        <w:rPr>
          <w:rFonts w:ascii="Times New Roman" w:eastAsia="Times New Roman" w:hAnsi="Times New Roman" w:cs="Times New Roman"/>
          <w:sz w:val="24"/>
          <w:szCs w:val="24"/>
        </w:rPr>
        <w:t xml:space="preserve">  Therefore, the Court turned to the dictionary definition of “failure” to determine the ordinary and customary meaning of a home warranty provision under which coverage was triggered by a “failure of…structural components.”</w:t>
      </w:r>
      <w:r w:rsidRPr="003E193D">
        <w:rPr>
          <w:rFonts w:ascii="Times New Roman" w:eastAsia="Times New Roman" w:hAnsi="Times New Roman" w:cs="Times New Roman"/>
          <w:sz w:val="24"/>
          <w:szCs w:val="24"/>
          <w:vertAlign w:val="superscript"/>
        </w:rPr>
        <w:footnoteReference w:id="34"/>
      </w:r>
      <w:r w:rsidRPr="003E193D">
        <w:rPr>
          <w:rFonts w:ascii="Times New Roman" w:eastAsia="Times New Roman" w:hAnsi="Times New Roman" w:cs="Times New Roman"/>
          <w:sz w:val="24"/>
          <w:szCs w:val="24"/>
        </w:rPr>
        <w:t xml:space="preserve">  Because the dictionary indicated that “failure” could mean anything from “not succeeding in doing or becoming,” to “lost power or strength,” the Court held that it was for a jury to decide whether there had been a “failure” sufficient to trigger coverage.</w:t>
      </w:r>
      <w:r w:rsidRPr="003E193D">
        <w:rPr>
          <w:rFonts w:ascii="Times New Roman" w:eastAsia="Times New Roman" w:hAnsi="Times New Roman" w:cs="Times New Roman"/>
          <w:sz w:val="24"/>
          <w:szCs w:val="24"/>
          <w:vertAlign w:val="superscript"/>
        </w:rPr>
        <w:footnoteReference w:id="35"/>
      </w:r>
      <w:r w:rsidRPr="003E193D">
        <w:rPr>
          <w:rFonts w:ascii="Times New Roman" w:eastAsia="Times New Roman" w:hAnsi="Times New Roman" w:cs="Times New Roman"/>
          <w:sz w:val="24"/>
          <w:szCs w:val="24"/>
        </w:rPr>
        <w:t xml:space="preserve">  Grammar and precision of language are never more important than when a court reviews only what the words say, without explanation or context from the litigants.</w:t>
      </w:r>
    </w:p>
    <w:p w:rsidR="00B250A4" w:rsidRPr="003E193D" w:rsidRDefault="00B250A4" w:rsidP="00B250A4">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 xml:space="preserve">Note that in an effort to avoid ambiguity, it is important to define all capitalized terms and ensure that the title of the documents or labeling of the provisions therein are indicative of the intent of the parties.  Also, it is important to remember that the actions of the parties can be considered by a court in resolving ambiguity.  In </w:t>
      </w:r>
      <w:r w:rsidRPr="003E193D">
        <w:rPr>
          <w:rFonts w:ascii="Times New Roman" w:eastAsia="Times New Roman" w:hAnsi="Times New Roman" w:cs="Times New Roman"/>
          <w:sz w:val="24"/>
          <w:szCs w:val="24"/>
          <w:u w:val="single"/>
        </w:rPr>
        <w:t>Richard Bowers &amp; Co. v. Clairmont Place</w:t>
      </w:r>
      <w:r w:rsidRPr="003E193D">
        <w:rPr>
          <w:rFonts w:ascii="Times New Roman" w:eastAsia="Times New Roman" w:hAnsi="Times New Roman" w:cs="Times New Roman"/>
          <w:sz w:val="24"/>
          <w:szCs w:val="24"/>
        </w:rPr>
        <w:t>, there was a dispute as to whether Clairmont, the owner of a commercial property, was required to comply with a provision in a Leasing Commission Agreement entered into by one of its predecessors to pay a broker’s commission.</w:t>
      </w:r>
      <w:r w:rsidRPr="003E193D">
        <w:rPr>
          <w:rFonts w:ascii="Times New Roman" w:eastAsia="Times New Roman" w:hAnsi="Times New Roman" w:cs="Times New Roman"/>
          <w:sz w:val="24"/>
          <w:szCs w:val="24"/>
          <w:vertAlign w:val="superscript"/>
        </w:rPr>
        <w:footnoteReference w:id="36"/>
      </w:r>
      <w:r w:rsidRPr="003E193D">
        <w:rPr>
          <w:rFonts w:ascii="Times New Roman" w:eastAsia="Times New Roman" w:hAnsi="Times New Roman" w:cs="Times New Roman"/>
          <w:sz w:val="24"/>
          <w:szCs w:val="24"/>
        </w:rPr>
        <w:t xml:space="preserve">  It was undisputed that Clairmont assumed the Leasing Commission Agreement as part of its purchase.  The Leasing Commission Agreement provided, in pertinent part, for payment of commissions equal to “five percent (5%) of the monthly rental paid by Tenant under this Lease” by owner to broker.</w:t>
      </w:r>
      <w:r w:rsidRPr="003E193D">
        <w:rPr>
          <w:rFonts w:ascii="Times New Roman" w:eastAsia="Times New Roman" w:hAnsi="Times New Roman" w:cs="Times New Roman"/>
          <w:sz w:val="24"/>
          <w:szCs w:val="24"/>
          <w:vertAlign w:val="superscript"/>
        </w:rPr>
        <w:footnoteReference w:id="37"/>
      </w:r>
      <w:r w:rsidRPr="003E193D">
        <w:rPr>
          <w:rFonts w:ascii="Times New Roman" w:eastAsia="Times New Roman" w:hAnsi="Times New Roman" w:cs="Times New Roman"/>
          <w:sz w:val="24"/>
          <w:szCs w:val="24"/>
        </w:rPr>
        <w:t xml:space="preserve">  Subsequent to the </w:t>
      </w:r>
      <w:r w:rsidRPr="003E193D">
        <w:rPr>
          <w:rFonts w:ascii="Times New Roman" w:eastAsia="Times New Roman" w:hAnsi="Times New Roman" w:cs="Times New Roman"/>
          <w:sz w:val="24"/>
          <w:szCs w:val="24"/>
        </w:rPr>
        <w:lastRenderedPageBreak/>
        <w:t>execution of the underlying lease but prior to Clairmont’s acquisition of the subject property, the tenant on the subject property changed.</w:t>
      </w:r>
      <w:r w:rsidRPr="003E193D">
        <w:rPr>
          <w:rFonts w:ascii="Times New Roman" w:eastAsia="Times New Roman" w:hAnsi="Times New Roman" w:cs="Times New Roman"/>
          <w:sz w:val="24"/>
          <w:szCs w:val="24"/>
          <w:vertAlign w:val="superscript"/>
        </w:rPr>
        <w:footnoteReference w:id="38"/>
      </w:r>
      <w:r w:rsidRPr="003E193D">
        <w:rPr>
          <w:rFonts w:ascii="Times New Roman" w:eastAsia="Times New Roman" w:hAnsi="Times New Roman" w:cs="Times New Roman"/>
          <w:sz w:val="24"/>
          <w:szCs w:val="24"/>
        </w:rPr>
        <w:t xml:space="preserve">  </w:t>
      </w:r>
    </w:p>
    <w:p w:rsidR="00B250A4" w:rsidRPr="003E193D" w:rsidRDefault="00B250A4" w:rsidP="00B250A4">
      <w:pPr>
        <w:spacing w:after="0" w:line="480" w:lineRule="auto"/>
        <w:ind w:firstLine="720"/>
        <w:jc w:val="both"/>
        <w:rPr>
          <w:rFonts w:ascii="Times New Roman" w:eastAsia="Times New Roman" w:hAnsi="Times New Roman" w:cs="Times New Roman"/>
          <w:b/>
          <w:sz w:val="24"/>
          <w:szCs w:val="24"/>
        </w:rPr>
      </w:pPr>
      <w:r w:rsidRPr="003E193D">
        <w:rPr>
          <w:rFonts w:ascii="Times New Roman" w:eastAsia="Times New Roman" w:hAnsi="Times New Roman" w:cs="Times New Roman"/>
          <w:sz w:val="24"/>
          <w:szCs w:val="24"/>
        </w:rPr>
        <w:t>Although Clairmont paid the 5% commission to the broker for a period of time, Clairmont later ceased paying the commission and the broker sued for the commissions owed.</w:t>
      </w:r>
      <w:r w:rsidRPr="003E193D">
        <w:rPr>
          <w:rFonts w:ascii="Times New Roman" w:eastAsia="Times New Roman" w:hAnsi="Times New Roman" w:cs="Times New Roman"/>
          <w:sz w:val="24"/>
          <w:szCs w:val="24"/>
          <w:vertAlign w:val="superscript"/>
        </w:rPr>
        <w:footnoteReference w:id="39"/>
      </w:r>
      <w:r w:rsidRPr="003E193D">
        <w:rPr>
          <w:rFonts w:ascii="Times New Roman" w:eastAsia="Times New Roman" w:hAnsi="Times New Roman" w:cs="Times New Roman"/>
          <w:sz w:val="24"/>
          <w:szCs w:val="24"/>
        </w:rPr>
        <w:t xml:space="preserve">  The trial court denied the broker’s motion for summary judgment finding, in part, that the subsequent tenant was not the “Tenant” for purposes of the Leasing Commission Agreement and, therefore, Clairmont did not owe the commissions.  The trial court issued a certificate of immediate review.</w:t>
      </w:r>
      <w:r w:rsidRPr="003E193D">
        <w:rPr>
          <w:rFonts w:ascii="Times New Roman" w:eastAsia="Times New Roman" w:hAnsi="Times New Roman" w:cs="Times New Roman"/>
          <w:sz w:val="24"/>
          <w:szCs w:val="24"/>
          <w:vertAlign w:val="superscript"/>
        </w:rPr>
        <w:footnoteReference w:id="40"/>
      </w:r>
      <w:r w:rsidRPr="003E193D">
        <w:rPr>
          <w:rFonts w:ascii="Times New Roman" w:eastAsia="Times New Roman" w:hAnsi="Times New Roman" w:cs="Times New Roman"/>
          <w:sz w:val="24"/>
          <w:szCs w:val="24"/>
        </w:rPr>
        <w:t xml:space="preserve">  The Court of Appeals granted the broker’s application for interlocutory review and the broker appealed.  The Court of Appeals determined that the lack of clarity regarding the meaning of “Tenant” created an ambiguity within the Leasing Commission Agreement.</w:t>
      </w:r>
      <w:r w:rsidRPr="003E193D">
        <w:rPr>
          <w:rFonts w:ascii="Times New Roman" w:eastAsia="Times New Roman" w:hAnsi="Times New Roman" w:cs="Times New Roman"/>
          <w:sz w:val="24"/>
          <w:szCs w:val="24"/>
          <w:vertAlign w:val="superscript"/>
        </w:rPr>
        <w:footnoteReference w:id="41"/>
      </w:r>
      <w:r w:rsidRPr="003E193D">
        <w:rPr>
          <w:rFonts w:ascii="Times New Roman" w:eastAsia="Times New Roman" w:hAnsi="Times New Roman" w:cs="Times New Roman"/>
          <w:sz w:val="24"/>
          <w:szCs w:val="24"/>
        </w:rPr>
        <w:t xml:space="preserve">  Looking to the four corners of the contract, the Court noted that “Tenant” was not a defined term in the Agreement; and while the word “Tenant” was capitalized, the agreement contained several capitalized words that were not defined.</w:t>
      </w:r>
      <w:r w:rsidRPr="003E193D">
        <w:rPr>
          <w:rFonts w:ascii="Times New Roman" w:eastAsia="Times New Roman" w:hAnsi="Times New Roman" w:cs="Times New Roman"/>
          <w:sz w:val="24"/>
          <w:szCs w:val="24"/>
          <w:vertAlign w:val="superscript"/>
        </w:rPr>
        <w:footnoteReference w:id="42"/>
      </w:r>
      <w:r w:rsidRPr="003E193D">
        <w:rPr>
          <w:rFonts w:ascii="Times New Roman" w:eastAsia="Times New Roman" w:hAnsi="Times New Roman" w:cs="Times New Roman"/>
          <w:sz w:val="24"/>
          <w:szCs w:val="24"/>
        </w:rPr>
        <w:t xml:space="preserve">  Importantly, the Court also looked to the actions of the parties to resolve the ambiguity in the contract.</w:t>
      </w:r>
      <w:r w:rsidRPr="003E193D">
        <w:rPr>
          <w:rFonts w:ascii="Times New Roman" w:eastAsia="Times New Roman" w:hAnsi="Times New Roman" w:cs="Times New Roman"/>
          <w:sz w:val="24"/>
          <w:szCs w:val="24"/>
          <w:vertAlign w:val="superscript"/>
        </w:rPr>
        <w:footnoteReference w:id="43"/>
      </w:r>
      <w:r w:rsidRPr="003E193D">
        <w:rPr>
          <w:rFonts w:ascii="Times New Roman" w:eastAsia="Times New Roman" w:hAnsi="Times New Roman" w:cs="Times New Roman"/>
          <w:sz w:val="24"/>
          <w:szCs w:val="24"/>
        </w:rPr>
        <w:t xml:space="preserve">  In this case, Clairmont paid the commissions for years notwithstanding the fact that the tenant had changed.  Concluding that the trial court erred in denying summary judgment, the Court found that under the parties’ construction of the Leasing Commission Agreement, as shown by their actions and conduct, the subsequent tenant could be and was a “Tenant” for purposes of the Leasing Commission </w:t>
      </w:r>
      <w:r w:rsidRPr="003E193D">
        <w:rPr>
          <w:rFonts w:ascii="Times New Roman" w:eastAsia="Times New Roman" w:hAnsi="Times New Roman" w:cs="Times New Roman"/>
          <w:sz w:val="24"/>
          <w:szCs w:val="24"/>
        </w:rPr>
        <w:lastRenderedPageBreak/>
        <w:t>Agreement.</w:t>
      </w:r>
      <w:r w:rsidRPr="003E193D">
        <w:rPr>
          <w:rFonts w:ascii="Times New Roman" w:eastAsia="Times New Roman" w:hAnsi="Times New Roman" w:cs="Times New Roman"/>
          <w:sz w:val="24"/>
          <w:szCs w:val="24"/>
          <w:vertAlign w:val="superscript"/>
        </w:rPr>
        <w:footnoteReference w:id="44"/>
      </w:r>
      <w:r w:rsidRPr="003E193D">
        <w:rPr>
          <w:rFonts w:ascii="Times New Roman" w:eastAsia="Times New Roman" w:hAnsi="Times New Roman" w:cs="Times New Roman"/>
          <w:sz w:val="24"/>
          <w:szCs w:val="24"/>
        </w:rPr>
        <w:t xml:space="preserve">  Also, in addressing another issue, the Court noted that the title of a document can also be evidence of the intent of the parties.</w:t>
      </w:r>
      <w:r w:rsidRPr="003E193D">
        <w:rPr>
          <w:rFonts w:ascii="Times New Roman" w:eastAsia="Times New Roman" w:hAnsi="Times New Roman" w:cs="Times New Roman"/>
          <w:sz w:val="24"/>
          <w:szCs w:val="24"/>
          <w:vertAlign w:val="superscript"/>
        </w:rPr>
        <w:footnoteReference w:id="45"/>
      </w:r>
    </w:p>
    <w:p w:rsidR="00130D4F" w:rsidRPr="003E193D" w:rsidRDefault="00130D4F" w:rsidP="0083713C">
      <w:pPr>
        <w:pStyle w:val="ListParagraph"/>
        <w:keepNext/>
        <w:keepLines/>
        <w:numPr>
          <w:ilvl w:val="0"/>
          <w:numId w:val="2"/>
        </w:numPr>
        <w:spacing w:after="240" w:line="240" w:lineRule="auto"/>
        <w:outlineLvl w:val="1"/>
        <w:rPr>
          <w:rFonts w:ascii="Times New Roman" w:eastAsia="Times New Roman" w:hAnsi="Times New Roman" w:cs="Times New Roman"/>
          <w:b/>
          <w:bCs/>
          <w:iCs/>
          <w:sz w:val="24"/>
          <w:szCs w:val="24"/>
        </w:rPr>
      </w:pPr>
      <w:bookmarkStart w:id="6" w:name="_Toc432082852"/>
      <w:bookmarkStart w:id="7" w:name="_Toc432082901"/>
      <w:bookmarkStart w:id="8" w:name="_Toc432082929"/>
      <w:r w:rsidRPr="003E193D">
        <w:rPr>
          <w:rFonts w:ascii="Times New Roman" w:eastAsia="Times New Roman" w:hAnsi="Times New Roman" w:cs="Times New Roman"/>
          <w:b/>
          <w:bCs/>
          <w:iCs/>
          <w:sz w:val="24"/>
          <w:szCs w:val="24"/>
        </w:rPr>
        <w:t>Other Examples and Case Studies</w:t>
      </w:r>
      <w:bookmarkEnd w:id="6"/>
      <w:bookmarkEnd w:id="7"/>
      <w:bookmarkEnd w:id="8"/>
      <w:r w:rsidR="00762E5C" w:rsidRPr="003E193D">
        <w:rPr>
          <w:rFonts w:ascii="Times New Roman" w:eastAsia="Times New Roman" w:hAnsi="Times New Roman" w:cs="Times New Roman"/>
          <w:b/>
          <w:bCs/>
          <w:iCs/>
          <w:sz w:val="24"/>
          <w:szCs w:val="24"/>
        </w:rPr>
        <w:t>.</w:t>
      </w:r>
    </w:p>
    <w:p w:rsidR="00130D4F" w:rsidRPr="003E193D" w:rsidRDefault="00130D4F" w:rsidP="0083713C">
      <w:pPr>
        <w:keepNext/>
        <w:keepLines/>
        <w:numPr>
          <w:ilvl w:val="2"/>
          <w:numId w:val="0"/>
        </w:numPr>
        <w:spacing w:after="0" w:line="480" w:lineRule="auto"/>
        <w:ind w:firstLine="720"/>
        <w:outlineLvl w:val="2"/>
        <w:rPr>
          <w:rFonts w:ascii="Times New Roman" w:eastAsia="Times New Roman" w:hAnsi="Times New Roman" w:cs="Times New Roman"/>
          <w:bCs/>
          <w:i/>
          <w:sz w:val="24"/>
          <w:szCs w:val="24"/>
          <w:u w:val="single"/>
        </w:rPr>
      </w:pPr>
      <w:bookmarkStart w:id="9" w:name="_Toc432082853"/>
      <w:bookmarkStart w:id="10" w:name="_Toc432082902"/>
      <w:bookmarkStart w:id="11" w:name="_Toc432082930"/>
      <w:r w:rsidRPr="003E193D">
        <w:rPr>
          <w:rFonts w:ascii="Times New Roman" w:eastAsia="Times New Roman" w:hAnsi="Times New Roman" w:cs="Times New Roman"/>
          <w:bCs/>
          <w:i/>
          <w:sz w:val="24"/>
          <w:szCs w:val="24"/>
          <w:u w:val="single"/>
        </w:rPr>
        <w:t>Contract Ambiguity 1</w:t>
      </w:r>
      <w:bookmarkEnd w:id="9"/>
      <w:bookmarkEnd w:id="10"/>
      <w:bookmarkEnd w:id="11"/>
    </w:p>
    <w:p w:rsidR="00130D4F" w:rsidRPr="003E193D" w:rsidRDefault="00130D4F" w:rsidP="0083713C">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“In the event that Seller sells or contracts to sell the Property to any buyer introduced to the Property by Broker within 90 days after the expiration of the Listing Period, then Seller shall pay the commission referenced above to Broker at the closing of the sale or exchange of the Property.” – Court found ambiguous as to what had to occur within 90 days of the listing period expiration date for the commission to be due.</w:t>
      </w:r>
      <w:r w:rsidRPr="003E193D">
        <w:rPr>
          <w:rFonts w:ascii="Times New Roman" w:eastAsia="Times New Roman" w:hAnsi="Times New Roman" w:cs="Times New Roman"/>
          <w:sz w:val="24"/>
          <w:szCs w:val="24"/>
          <w:vertAlign w:val="superscript"/>
        </w:rPr>
        <w:footnoteReference w:id="46"/>
      </w:r>
    </w:p>
    <w:p w:rsidR="00130D4F" w:rsidRPr="003E193D" w:rsidRDefault="00130D4F" w:rsidP="0083713C">
      <w:pPr>
        <w:keepNext/>
        <w:keepLines/>
        <w:numPr>
          <w:ilvl w:val="2"/>
          <w:numId w:val="0"/>
        </w:numPr>
        <w:spacing w:after="0" w:line="480" w:lineRule="auto"/>
        <w:ind w:firstLine="720"/>
        <w:outlineLvl w:val="2"/>
        <w:rPr>
          <w:rFonts w:ascii="Times New Roman" w:eastAsia="Times New Roman" w:hAnsi="Times New Roman" w:cs="Times New Roman"/>
          <w:bCs/>
          <w:i/>
          <w:sz w:val="24"/>
          <w:szCs w:val="24"/>
          <w:u w:val="single"/>
        </w:rPr>
      </w:pPr>
      <w:bookmarkStart w:id="12" w:name="_Toc432082854"/>
      <w:bookmarkStart w:id="13" w:name="_Toc432082903"/>
      <w:bookmarkStart w:id="14" w:name="_Toc432082931"/>
      <w:r w:rsidRPr="003E193D">
        <w:rPr>
          <w:rFonts w:ascii="Times New Roman" w:eastAsia="Times New Roman" w:hAnsi="Times New Roman" w:cs="Times New Roman"/>
          <w:bCs/>
          <w:i/>
          <w:sz w:val="24"/>
          <w:szCs w:val="24"/>
          <w:u w:val="single"/>
        </w:rPr>
        <w:t>Contract Ambiguity 2</w:t>
      </w:r>
      <w:bookmarkEnd w:id="12"/>
      <w:bookmarkEnd w:id="13"/>
      <w:bookmarkEnd w:id="14"/>
      <w:r w:rsidRPr="003E193D">
        <w:rPr>
          <w:rFonts w:ascii="Times New Roman" w:eastAsia="Times New Roman" w:hAnsi="Times New Roman" w:cs="Times New Roman"/>
          <w:bCs/>
          <w:i/>
          <w:sz w:val="24"/>
          <w:szCs w:val="24"/>
          <w:u w:val="single"/>
        </w:rPr>
        <w:t xml:space="preserve"> </w:t>
      </w:r>
    </w:p>
    <w:p w:rsidR="00130D4F" w:rsidRPr="003E193D" w:rsidRDefault="00130D4F" w:rsidP="0083713C">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Real property sold with the stipulation that “all Equipment having to do with the cattle operation still belongs to the seller.”  Property then sold to third party “together with all fixtures, landscaping, improvements, and appurtenances.” – Court found ambiguous because it did not identify the equipment to remain with seller.</w:t>
      </w:r>
      <w:r w:rsidRPr="003E193D">
        <w:rPr>
          <w:rFonts w:ascii="Times New Roman" w:eastAsia="Times New Roman" w:hAnsi="Times New Roman" w:cs="Times New Roman"/>
          <w:sz w:val="24"/>
          <w:szCs w:val="24"/>
          <w:vertAlign w:val="superscript"/>
        </w:rPr>
        <w:footnoteReference w:id="47"/>
      </w:r>
    </w:p>
    <w:p w:rsidR="00130D4F" w:rsidRPr="003E193D" w:rsidRDefault="00130D4F" w:rsidP="0083713C">
      <w:pPr>
        <w:keepNext/>
        <w:keepLines/>
        <w:numPr>
          <w:ilvl w:val="2"/>
          <w:numId w:val="0"/>
        </w:numPr>
        <w:spacing w:after="0" w:line="480" w:lineRule="auto"/>
        <w:ind w:firstLine="720"/>
        <w:outlineLvl w:val="2"/>
        <w:rPr>
          <w:rFonts w:ascii="Times New Roman" w:eastAsia="Times New Roman" w:hAnsi="Times New Roman" w:cs="Times New Roman"/>
          <w:bCs/>
          <w:i/>
          <w:sz w:val="24"/>
          <w:szCs w:val="24"/>
          <w:u w:val="single"/>
        </w:rPr>
      </w:pPr>
      <w:bookmarkStart w:id="15" w:name="_Toc432082855"/>
      <w:bookmarkStart w:id="16" w:name="_Toc432082904"/>
      <w:bookmarkStart w:id="17" w:name="_Toc432082932"/>
      <w:r w:rsidRPr="003E193D">
        <w:rPr>
          <w:rFonts w:ascii="Times New Roman" w:eastAsia="Times New Roman" w:hAnsi="Times New Roman" w:cs="Times New Roman"/>
          <w:bCs/>
          <w:i/>
          <w:sz w:val="24"/>
          <w:szCs w:val="24"/>
          <w:u w:val="single"/>
        </w:rPr>
        <w:t>Contract Ambiguity 3</w:t>
      </w:r>
      <w:bookmarkEnd w:id="15"/>
      <w:bookmarkEnd w:id="16"/>
      <w:bookmarkEnd w:id="17"/>
    </w:p>
    <w:p w:rsidR="00130D4F" w:rsidRPr="003E193D" w:rsidRDefault="00130D4F" w:rsidP="0083713C">
      <w:pPr>
        <w:spacing w:after="0" w:line="480" w:lineRule="auto"/>
        <w:ind w:firstLine="720"/>
        <w:jc w:val="both"/>
        <w:rPr>
          <w:rFonts w:ascii="Times New Roman" w:eastAsia="Times New Roman" w:hAnsi="Times New Roman" w:cs="Times New Roman"/>
          <w:sz w:val="24"/>
          <w:szCs w:val="24"/>
        </w:rPr>
      </w:pPr>
      <w:r w:rsidRPr="003E193D">
        <w:rPr>
          <w:rFonts w:ascii="Times New Roman" w:eastAsia="Times New Roman" w:hAnsi="Times New Roman" w:cs="Times New Roman"/>
          <w:sz w:val="24"/>
          <w:szCs w:val="24"/>
        </w:rPr>
        <w:t xml:space="preserve">Purchase and sale agreement stated “transaction shall be closed on June 6, 2002, or on such other date as may be agreed to by the parties in writing, provided, however, that: (1) in the event the loan described herein is unable to be closed on or before said date; or (2) Seller fails to satisfy valid title objections, Buyer or Seller may, by notice to the other party (which notice must be received on or before the closing date), extend the Agreement’s closing date up to seven (7) </w:t>
      </w:r>
      <w:r w:rsidRPr="003E193D">
        <w:rPr>
          <w:rFonts w:ascii="Times New Roman" w:eastAsia="Times New Roman" w:hAnsi="Times New Roman" w:cs="Times New Roman"/>
          <w:sz w:val="24"/>
          <w:szCs w:val="24"/>
        </w:rPr>
        <w:lastRenderedPageBreak/>
        <w:t>days from the above-stated closing date.” – Contract was ambiguous as to the process for extending the closing date if it was a cash sale as opposed to a loan.</w:t>
      </w:r>
      <w:r w:rsidRPr="003E193D">
        <w:rPr>
          <w:rFonts w:ascii="Times New Roman" w:eastAsia="Times New Roman" w:hAnsi="Times New Roman" w:cs="Times New Roman"/>
          <w:sz w:val="24"/>
          <w:szCs w:val="24"/>
          <w:vertAlign w:val="superscript"/>
        </w:rPr>
        <w:footnoteReference w:id="48"/>
      </w:r>
    </w:p>
    <w:p w:rsidR="00130D4F" w:rsidRPr="003E193D" w:rsidRDefault="00130D4F" w:rsidP="0083713C">
      <w:pPr>
        <w:keepNext/>
        <w:keepLines/>
        <w:numPr>
          <w:ilvl w:val="2"/>
          <w:numId w:val="0"/>
        </w:numPr>
        <w:spacing w:after="0" w:line="480" w:lineRule="auto"/>
        <w:ind w:firstLine="720"/>
        <w:outlineLvl w:val="2"/>
        <w:rPr>
          <w:rFonts w:ascii="Times New Roman" w:eastAsia="Times New Roman" w:hAnsi="Times New Roman" w:cs="Times New Roman"/>
          <w:bCs/>
          <w:i/>
          <w:sz w:val="24"/>
          <w:szCs w:val="24"/>
          <w:u w:val="single"/>
        </w:rPr>
      </w:pPr>
      <w:bookmarkStart w:id="18" w:name="_Toc432082856"/>
      <w:bookmarkStart w:id="19" w:name="_Toc432082905"/>
      <w:bookmarkStart w:id="20" w:name="_Toc432082933"/>
      <w:r w:rsidRPr="003E193D">
        <w:rPr>
          <w:rFonts w:ascii="Times New Roman" w:eastAsia="Times New Roman" w:hAnsi="Times New Roman" w:cs="Times New Roman"/>
          <w:bCs/>
          <w:i/>
          <w:sz w:val="24"/>
          <w:szCs w:val="24"/>
          <w:u w:val="single"/>
        </w:rPr>
        <w:t>Contract Ambiguity 4</w:t>
      </w:r>
      <w:bookmarkEnd w:id="18"/>
      <w:bookmarkEnd w:id="19"/>
      <w:bookmarkEnd w:id="20"/>
    </w:p>
    <w:p w:rsidR="006C1B74" w:rsidRPr="003E193D" w:rsidRDefault="00130D4F" w:rsidP="00653E37">
      <w:pPr>
        <w:spacing w:after="0" w:line="480" w:lineRule="auto"/>
        <w:ind w:firstLine="720"/>
        <w:jc w:val="both"/>
        <w:rPr>
          <w:rFonts w:ascii="Times New Roman" w:hAnsi="Times New Roman" w:cs="Times New Roman"/>
          <w:sz w:val="24"/>
          <w:szCs w:val="24"/>
        </w:rPr>
      </w:pPr>
      <w:r w:rsidRPr="003E193D">
        <w:rPr>
          <w:rFonts w:ascii="Times New Roman" w:eastAsia="Times New Roman" w:hAnsi="Times New Roman" w:cs="Times New Roman"/>
          <w:sz w:val="24"/>
          <w:szCs w:val="24"/>
        </w:rPr>
        <w:t>Special Stipulation No. 1 to the sales agreement provided: “Real Estate Commission of $28,210.00 to be paid to [Prudential] on or before June 1, 2002, by sellers.” – Court noted that the provision failed to provide for a refund if the sale failed to close on stated date unlike other provisions to the agreement; because a genuine issue of fact existed for jury determination the trial court erred in granting summary judgment.</w:t>
      </w:r>
      <w:r w:rsidRPr="003E193D">
        <w:rPr>
          <w:rFonts w:ascii="Times New Roman" w:eastAsia="Times New Roman" w:hAnsi="Times New Roman" w:cs="Times New Roman"/>
          <w:sz w:val="24"/>
          <w:szCs w:val="24"/>
          <w:vertAlign w:val="superscript"/>
        </w:rPr>
        <w:footnoteReference w:id="49"/>
      </w:r>
    </w:p>
    <w:p w:rsidR="006405DB" w:rsidRPr="003E193D" w:rsidRDefault="006405DB" w:rsidP="006405DB">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Proving/Disproving Validity of the Contract</w:t>
      </w:r>
      <w:r w:rsidR="00762E5C" w:rsidRPr="003E193D">
        <w:rPr>
          <w:rFonts w:ascii="Times New Roman" w:hAnsi="Times New Roman" w:cs="Times New Roman"/>
          <w:b/>
          <w:sz w:val="24"/>
          <w:szCs w:val="24"/>
        </w:rPr>
        <w:t>.</w:t>
      </w:r>
    </w:p>
    <w:p w:rsidR="002025C8" w:rsidRPr="003E193D" w:rsidRDefault="002025C8" w:rsidP="002025C8">
      <w:pPr>
        <w:pStyle w:val="ListParagraph"/>
        <w:ind w:left="1080"/>
        <w:rPr>
          <w:rFonts w:ascii="Times New Roman" w:hAnsi="Times New Roman" w:cs="Times New Roman"/>
          <w:b/>
          <w:sz w:val="24"/>
          <w:szCs w:val="24"/>
        </w:rPr>
      </w:pPr>
    </w:p>
    <w:p w:rsidR="002025C8" w:rsidRPr="003E193D" w:rsidRDefault="002025C8" w:rsidP="002025C8">
      <w:pPr>
        <w:pStyle w:val="ListParagraph"/>
        <w:numPr>
          <w:ilvl w:val="0"/>
          <w:numId w:val="7"/>
        </w:numPr>
        <w:spacing w:after="0" w:line="480" w:lineRule="auto"/>
        <w:jc w:val="both"/>
        <w:rPr>
          <w:rFonts w:ascii="Times New Roman" w:hAnsi="Times New Roman" w:cs="Times New Roman"/>
          <w:b/>
          <w:sz w:val="24"/>
          <w:szCs w:val="24"/>
        </w:rPr>
      </w:pPr>
      <w:r w:rsidRPr="003E193D">
        <w:rPr>
          <w:rFonts w:ascii="Times New Roman" w:hAnsi="Times New Roman" w:cs="Times New Roman"/>
          <w:b/>
          <w:sz w:val="24"/>
          <w:szCs w:val="24"/>
        </w:rPr>
        <w:t>Statute of Frauds</w:t>
      </w:r>
      <w:r w:rsidR="00762E5C" w:rsidRPr="003E193D">
        <w:rPr>
          <w:rFonts w:ascii="Times New Roman" w:hAnsi="Times New Roman" w:cs="Times New Roman"/>
          <w:b/>
          <w:sz w:val="24"/>
          <w:szCs w:val="24"/>
        </w:rPr>
        <w:t>.</w:t>
      </w:r>
    </w:p>
    <w:p w:rsidR="005C66E6" w:rsidRPr="003E193D" w:rsidRDefault="00FE0622"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As an initial matter, Georgia’s </w:t>
      </w:r>
      <w:r w:rsidR="009801BC" w:rsidRPr="003E193D">
        <w:rPr>
          <w:rFonts w:ascii="Times New Roman" w:hAnsi="Times New Roman" w:cs="Times New Roman"/>
          <w:sz w:val="24"/>
          <w:szCs w:val="24"/>
        </w:rPr>
        <w:t>Statute of F</w:t>
      </w:r>
      <w:r w:rsidRPr="003E193D">
        <w:rPr>
          <w:rFonts w:ascii="Times New Roman" w:hAnsi="Times New Roman" w:cs="Times New Roman"/>
          <w:sz w:val="24"/>
          <w:szCs w:val="24"/>
        </w:rPr>
        <w:t>rauds requires that contracts for the sale of land must</w:t>
      </w:r>
      <w:r w:rsidR="008E4696" w:rsidRPr="003E193D">
        <w:rPr>
          <w:rFonts w:ascii="Times New Roman" w:hAnsi="Times New Roman" w:cs="Times New Roman"/>
          <w:sz w:val="24"/>
          <w:szCs w:val="24"/>
        </w:rPr>
        <w:t xml:space="preserve"> be in writing.</w:t>
      </w:r>
      <w:r w:rsidR="00DD37EA" w:rsidRPr="003E193D">
        <w:rPr>
          <w:rStyle w:val="FootnoteReference"/>
          <w:rFonts w:ascii="Times New Roman" w:hAnsi="Times New Roman" w:cs="Times New Roman"/>
          <w:sz w:val="24"/>
          <w:szCs w:val="24"/>
        </w:rPr>
        <w:footnoteReference w:id="50"/>
      </w:r>
      <w:r w:rsidR="008E4696" w:rsidRPr="003E193D">
        <w:rPr>
          <w:rFonts w:ascii="Times New Roman" w:hAnsi="Times New Roman" w:cs="Times New Roman"/>
          <w:sz w:val="24"/>
          <w:szCs w:val="24"/>
        </w:rPr>
        <w:t xml:space="preserve">  </w:t>
      </w:r>
      <w:r w:rsidR="005C66E6" w:rsidRPr="003E193D">
        <w:rPr>
          <w:rFonts w:ascii="Times New Roman" w:hAnsi="Times New Roman" w:cs="Times New Roman"/>
          <w:sz w:val="24"/>
          <w:szCs w:val="24"/>
        </w:rPr>
        <w:t xml:space="preserve">“To comply with the </w:t>
      </w:r>
      <w:r w:rsidR="009801BC" w:rsidRPr="003E193D">
        <w:rPr>
          <w:rFonts w:ascii="Times New Roman" w:hAnsi="Times New Roman" w:cs="Times New Roman"/>
          <w:sz w:val="24"/>
          <w:szCs w:val="24"/>
        </w:rPr>
        <w:t>Statute of F</w:t>
      </w:r>
      <w:r w:rsidR="005C66E6" w:rsidRPr="003E193D">
        <w:rPr>
          <w:rFonts w:ascii="Times New Roman" w:hAnsi="Times New Roman" w:cs="Times New Roman"/>
          <w:sz w:val="24"/>
          <w:szCs w:val="24"/>
        </w:rPr>
        <w:t>rauds, a writing must be complete in itself, leaving nothing to rest in parol.”</w:t>
      </w:r>
      <w:r w:rsidR="005C66E6" w:rsidRPr="003E193D">
        <w:rPr>
          <w:rStyle w:val="FootnoteReference"/>
          <w:rFonts w:ascii="Times New Roman" w:hAnsi="Times New Roman" w:cs="Times New Roman"/>
          <w:sz w:val="24"/>
          <w:szCs w:val="24"/>
        </w:rPr>
        <w:footnoteReference w:id="51"/>
      </w:r>
      <w:r w:rsidR="003A3ADA" w:rsidRPr="003E193D">
        <w:rPr>
          <w:rFonts w:ascii="Times New Roman" w:hAnsi="Times New Roman" w:cs="Times New Roman"/>
          <w:sz w:val="24"/>
          <w:szCs w:val="24"/>
        </w:rPr>
        <w:t xml:space="preserve">  Generally, “[w]hen a contract is required by the Statute of Frauds to be in writing, any modification of the contract must also be in writing.”</w:t>
      </w:r>
      <w:r w:rsidR="003A3ADA" w:rsidRPr="003E193D">
        <w:rPr>
          <w:rStyle w:val="FootnoteReference"/>
          <w:rFonts w:ascii="Times New Roman" w:hAnsi="Times New Roman" w:cs="Times New Roman"/>
          <w:sz w:val="24"/>
          <w:szCs w:val="24"/>
        </w:rPr>
        <w:footnoteReference w:id="52"/>
      </w:r>
      <w:r w:rsidR="00E07932" w:rsidRPr="003E193D">
        <w:rPr>
          <w:rFonts w:ascii="Times New Roman" w:hAnsi="Times New Roman" w:cs="Times New Roman"/>
          <w:sz w:val="24"/>
          <w:szCs w:val="24"/>
        </w:rPr>
        <w:t xml:space="preserve">  “A contract for the sale of land that is partly in writing and party in parol is unenforceable by reason of the Statute of Frauds.”</w:t>
      </w:r>
      <w:r w:rsidR="00E07932" w:rsidRPr="003E193D">
        <w:rPr>
          <w:rStyle w:val="FootnoteReference"/>
          <w:rFonts w:ascii="Times New Roman" w:hAnsi="Times New Roman" w:cs="Times New Roman"/>
          <w:sz w:val="24"/>
          <w:szCs w:val="24"/>
        </w:rPr>
        <w:footnoteReference w:id="53"/>
      </w:r>
    </w:p>
    <w:p w:rsidR="00FE0622" w:rsidRPr="003E193D" w:rsidRDefault="00627CAC"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lastRenderedPageBreak/>
        <w:t>“In Georgia, a contract requires agreement on all essential terms and ‘the failure to agree to even one essential term means that there is no agreement to be enforced</w:t>
      </w:r>
      <w:r w:rsidR="00650EA7" w:rsidRPr="003E193D">
        <w:rPr>
          <w:rFonts w:ascii="Times New Roman" w:hAnsi="Times New Roman" w:cs="Times New Roman"/>
          <w:sz w:val="24"/>
          <w:szCs w:val="24"/>
        </w:rPr>
        <w:t xml:space="preserve">.  </w:t>
      </w:r>
      <w:r w:rsidR="0084494D" w:rsidRPr="003E193D">
        <w:rPr>
          <w:rFonts w:ascii="Times New Roman" w:hAnsi="Times New Roman" w:cs="Times New Roman"/>
          <w:sz w:val="24"/>
          <w:szCs w:val="24"/>
        </w:rPr>
        <w:t>If a contract fails to establish an essential term, and leaves the settling of that term to be agreed upon later by the parties to the contract, the contract is deemed an unenforceable agreement to agree.’”</w:t>
      </w:r>
      <w:r w:rsidR="0084494D" w:rsidRPr="003E193D">
        <w:rPr>
          <w:rStyle w:val="FootnoteReference"/>
          <w:rFonts w:ascii="Times New Roman" w:hAnsi="Times New Roman" w:cs="Times New Roman"/>
          <w:sz w:val="24"/>
          <w:szCs w:val="24"/>
        </w:rPr>
        <w:footnoteReference w:id="54"/>
      </w:r>
      <w:r w:rsidR="0084494D" w:rsidRPr="003E193D">
        <w:rPr>
          <w:rFonts w:ascii="Times New Roman" w:hAnsi="Times New Roman" w:cs="Times New Roman"/>
          <w:sz w:val="24"/>
          <w:szCs w:val="24"/>
        </w:rPr>
        <w:t xml:space="preserve">  </w:t>
      </w:r>
      <w:r w:rsidR="00650EA7" w:rsidRPr="003E193D">
        <w:rPr>
          <w:rFonts w:ascii="Times New Roman" w:hAnsi="Times New Roman" w:cs="Times New Roman"/>
          <w:sz w:val="24"/>
          <w:szCs w:val="24"/>
        </w:rPr>
        <w:t>However, a seller cannot escape an agreement to purchase and s</w:t>
      </w:r>
      <w:r w:rsidR="00E55F3F" w:rsidRPr="003E193D">
        <w:rPr>
          <w:rFonts w:ascii="Times New Roman" w:hAnsi="Times New Roman" w:cs="Times New Roman"/>
          <w:sz w:val="24"/>
          <w:szCs w:val="24"/>
        </w:rPr>
        <w:t>ell</w:t>
      </w:r>
      <w:r w:rsidR="00650EA7" w:rsidRPr="003E193D">
        <w:rPr>
          <w:rFonts w:ascii="Times New Roman" w:hAnsi="Times New Roman" w:cs="Times New Roman"/>
          <w:sz w:val="24"/>
          <w:szCs w:val="24"/>
        </w:rPr>
        <w:t xml:space="preserve"> </w:t>
      </w:r>
      <w:r w:rsidR="00A15EC6" w:rsidRPr="003E193D">
        <w:rPr>
          <w:rFonts w:ascii="Times New Roman" w:hAnsi="Times New Roman" w:cs="Times New Roman"/>
          <w:sz w:val="24"/>
          <w:szCs w:val="24"/>
        </w:rPr>
        <w:t>real estate when a more beneficial opportunity arises just because the agreement contains contingencies (</w:t>
      </w:r>
      <w:r w:rsidR="00A15EC6" w:rsidRPr="003E193D">
        <w:rPr>
          <w:rFonts w:ascii="Times New Roman" w:hAnsi="Times New Roman" w:cs="Times New Roman"/>
          <w:i/>
          <w:sz w:val="24"/>
          <w:szCs w:val="24"/>
        </w:rPr>
        <w:t>i.e</w:t>
      </w:r>
      <w:r w:rsidR="00A15EC6" w:rsidRPr="003E193D">
        <w:rPr>
          <w:rFonts w:ascii="Times New Roman" w:hAnsi="Times New Roman" w:cs="Times New Roman"/>
          <w:sz w:val="24"/>
          <w:szCs w:val="24"/>
        </w:rPr>
        <w:t>., the securing of financing).</w:t>
      </w:r>
      <w:r w:rsidR="00A15EC6" w:rsidRPr="003E193D">
        <w:rPr>
          <w:rStyle w:val="FootnoteReference"/>
          <w:rFonts w:ascii="Times New Roman" w:hAnsi="Times New Roman" w:cs="Times New Roman"/>
          <w:sz w:val="24"/>
          <w:szCs w:val="24"/>
        </w:rPr>
        <w:footnoteReference w:id="55"/>
      </w:r>
      <w:r w:rsidR="00A15EC6" w:rsidRPr="003E193D">
        <w:rPr>
          <w:rFonts w:ascii="Times New Roman" w:hAnsi="Times New Roman" w:cs="Times New Roman"/>
          <w:sz w:val="24"/>
          <w:szCs w:val="24"/>
        </w:rPr>
        <w:t xml:space="preserve">  </w:t>
      </w:r>
      <w:r w:rsidRPr="003E193D">
        <w:rPr>
          <w:rFonts w:ascii="Times New Roman" w:hAnsi="Times New Roman" w:cs="Times New Roman"/>
          <w:sz w:val="24"/>
          <w:szCs w:val="24"/>
          <w:u w:val="single"/>
        </w:rPr>
        <w:t>A</w:t>
      </w:r>
      <w:r w:rsidR="002637A1" w:rsidRPr="003E193D">
        <w:rPr>
          <w:rFonts w:ascii="Times New Roman" w:hAnsi="Times New Roman" w:cs="Times New Roman"/>
          <w:sz w:val="24"/>
          <w:szCs w:val="24"/>
          <w:u w:val="single"/>
        </w:rPr>
        <w:t>t a minimum</w:t>
      </w:r>
      <w:r w:rsidR="002637A1" w:rsidRPr="003E193D">
        <w:rPr>
          <w:rFonts w:ascii="Times New Roman" w:hAnsi="Times New Roman" w:cs="Times New Roman"/>
          <w:sz w:val="24"/>
          <w:szCs w:val="24"/>
        </w:rPr>
        <w:t>,</w:t>
      </w:r>
      <w:r w:rsidR="00944326" w:rsidRPr="003E193D">
        <w:rPr>
          <w:rFonts w:ascii="Times New Roman" w:hAnsi="Times New Roman" w:cs="Times New Roman"/>
          <w:sz w:val="24"/>
          <w:szCs w:val="24"/>
        </w:rPr>
        <w:t xml:space="preserve"> the purchase and sale agreement sho</w:t>
      </w:r>
      <w:r w:rsidR="00BF7842" w:rsidRPr="003E193D">
        <w:rPr>
          <w:rFonts w:ascii="Times New Roman" w:hAnsi="Times New Roman" w:cs="Times New Roman"/>
          <w:sz w:val="24"/>
          <w:szCs w:val="24"/>
        </w:rPr>
        <w:t xml:space="preserve">uld </w:t>
      </w:r>
      <w:r w:rsidR="00E026BE" w:rsidRPr="003E193D">
        <w:rPr>
          <w:rFonts w:ascii="Times New Roman" w:hAnsi="Times New Roman" w:cs="Times New Roman"/>
          <w:sz w:val="24"/>
          <w:szCs w:val="24"/>
        </w:rPr>
        <w:t>address the following:  identity of parties</w:t>
      </w:r>
      <w:r w:rsidR="006B07FA" w:rsidRPr="003E193D">
        <w:rPr>
          <w:rFonts w:ascii="Times New Roman" w:hAnsi="Times New Roman" w:cs="Times New Roman"/>
          <w:sz w:val="24"/>
          <w:szCs w:val="24"/>
        </w:rPr>
        <w:t xml:space="preserve"> (as well as</w:t>
      </w:r>
      <w:r w:rsidR="003E5B68" w:rsidRPr="003E193D">
        <w:rPr>
          <w:rFonts w:ascii="Times New Roman" w:hAnsi="Times New Roman" w:cs="Times New Roman"/>
          <w:sz w:val="24"/>
          <w:szCs w:val="24"/>
        </w:rPr>
        <w:t xml:space="preserve"> reflect</w:t>
      </w:r>
      <w:r w:rsidR="006B07FA" w:rsidRPr="003E193D">
        <w:rPr>
          <w:rFonts w:ascii="Times New Roman" w:hAnsi="Times New Roman" w:cs="Times New Roman"/>
          <w:sz w:val="24"/>
          <w:szCs w:val="24"/>
        </w:rPr>
        <w:t xml:space="preserve"> the signatures of such parties)</w:t>
      </w:r>
      <w:r w:rsidR="00E026BE" w:rsidRPr="003E193D">
        <w:rPr>
          <w:rFonts w:ascii="Times New Roman" w:hAnsi="Times New Roman" w:cs="Times New Roman"/>
          <w:sz w:val="24"/>
          <w:szCs w:val="24"/>
        </w:rPr>
        <w:t>, price and terms of payment</w:t>
      </w:r>
      <w:r w:rsidR="006B07FA" w:rsidRPr="003E193D">
        <w:rPr>
          <w:rStyle w:val="FootnoteReference"/>
          <w:rFonts w:ascii="Times New Roman" w:hAnsi="Times New Roman" w:cs="Times New Roman"/>
          <w:sz w:val="24"/>
          <w:szCs w:val="24"/>
        </w:rPr>
        <w:footnoteReference w:id="56"/>
      </w:r>
      <w:r w:rsidR="00E026BE" w:rsidRPr="003E193D">
        <w:rPr>
          <w:rFonts w:ascii="Times New Roman" w:hAnsi="Times New Roman" w:cs="Times New Roman"/>
          <w:sz w:val="24"/>
          <w:szCs w:val="24"/>
        </w:rPr>
        <w:t xml:space="preserve">, </w:t>
      </w:r>
      <w:r w:rsidR="00A97477" w:rsidRPr="003E193D">
        <w:rPr>
          <w:rFonts w:ascii="Times New Roman" w:hAnsi="Times New Roman" w:cs="Times New Roman"/>
          <w:sz w:val="24"/>
          <w:szCs w:val="24"/>
        </w:rPr>
        <w:t xml:space="preserve">accurate and detailed description of the property, </w:t>
      </w:r>
      <w:r w:rsidR="00E026BE" w:rsidRPr="003E193D">
        <w:rPr>
          <w:rFonts w:ascii="Times New Roman" w:hAnsi="Times New Roman" w:cs="Times New Roman"/>
          <w:sz w:val="24"/>
          <w:szCs w:val="24"/>
        </w:rPr>
        <w:t xml:space="preserve">disposition of existing mortgages, time of closing and transfer of possession, </w:t>
      </w:r>
      <w:r w:rsidR="00A51399" w:rsidRPr="003E193D">
        <w:rPr>
          <w:rFonts w:ascii="Times New Roman" w:hAnsi="Times New Roman" w:cs="Times New Roman"/>
          <w:sz w:val="24"/>
          <w:szCs w:val="24"/>
        </w:rPr>
        <w:t xml:space="preserve">due diligence deadlines and parameters, </w:t>
      </w:r>
      <w:r w:rsidR="00E026BE" w:rsidRPr="003E193D">
        <w:rPr>
          <w:rFonts w:ascii="Times New Roman" w:hAnsi="Times New Roman" w:cs="Times New Roman"/>
          <w:sz w:val="24"/>
          <w:szCs w:val="24"/>
        </w:rPr>
        <w:t>current taxes and other liens</w:t>
      </w:r>
      <w:r w:rsidR="005D7329" w:rsidRPr="003E193D">
        <w:rPr>
          <w:rFonts w:ascii="Times New Roman" w:hAnsi="Times New Roman" w:cs="Times New Roman"/>
          <w:sz w:val="24"/>
          <w:szCs w:val="24"/>
        </w:rPr>
        <w:t>, fixtures to be retained or</w:t>
      </w:r>
      <w:r w:rsidR="000038FE" w:rsidRPr="003E193D">
        <w:rPr>
          <w:rFonts w:ascii="Times New Roman" w:hAnsi="Times New Roman" w:cs="Times New Roman"/>
          <w:sz w:val="24"/>
          <w:szCs w:val="24"/>
        </w:rPr>
        <w:t xml:space="preserve"> sold</w:t>
      </w:r>
      <w:r w:rsidR="003E26CD" w:rsidRPr="003E193D">
        <w:rPr>
          <w:rFonts w:ascii="Times New Roman" w:hAnsi="Times New Roman" w:cs="Times New Roman"/>
          <w:sz w:val="24"/>
          <w:szCs w:val="24"/>
        </w:rPr>
        <w:t xml:space="preserve"> and any deed restrictions</w:t>
      </w:r>
      <w:r w:rsidR="005D7329" w:rsidRPr="003E193D">
        <w:rPr>
          <w:rFonts w:ascii="Times New Roman" w:hAnsi="Times New Roman" w:cs="Times New Roman"/>
          <w:sz w:val="24"/>
          <w:szCs w:val="24"/>
        </w:rPr>
        <w:t>.</w:t>
      </w:r>
      <w:r w:rsidR="00A97477" w:rsidRPr="003E193D">
        <w:rPr>
          <w:rStyle w:val="FootnoteReference"/>
          <w:rFonts w:ascii="Times New Roman" w:hAnsi="Times New Roman" w:cs="Times New Roman"/>
          <w:sz w:val="24"/>
          <w:szCs w:val="24"/>
        </w:rPr>
        <w:footnoteReference w:id="57"/>
      </w:r>
      <w:r w:rsidR="005D7329" w:rsidRPr="003E193D">
        <w:rPr>
          <w:rFonts w:ascii="Times New Roman" w:hAnsi="Times New Roman" w:cs="Times New Roman"/>
          <w:sz w:val="24"/>
          <w:szCs w:val="24"/>
        </w:rPr>
        <w:t xml:space="preserve">  </w:t>
      </w:r>
    </w:p>
    <w:p w:rsidR="002025C8" w:rsidRPr="003E193D" w:rsidRDefault="002025C8"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It is important to remember that th</w:t>
      </w:r>
      <w:r w:rsidR="00E55F3F" w:rsidRPr="003E193D">
        <w:rPr>
          <w:rFonts w:ascii="Times New Roman" w:hAnsi="Times New Roman" w:cs="Times New Roman"/>
          <w:sz w:val="24"/>
          <w:szCs w:val="24"/>
        </w:rPr>
        <w:t>ere are some exceptions to the Statute of F</w:t>
      </w:r>
      <w:r w:rsidRPr="003E193D">
        <w:rPr>
          <w:rFonts w:ascii="Times New Roman" w:hAnsi="Times New Roman" w:cs="Times New Roman"/>
          <w:sz w:val="24"/>
          <w:szCs w:val="24"/>
        </w:rPr>
        <w:t>rauds.</w:t>
      </w:r>
      <w:r w:rsidR="00455C79" w:rsidRPr="003E193D">
        <w:rPr>
          <w:rStyle w:val="FootnoteReference"/>
          <w:rFonts w:ascii="Times New Roman" w:hAnsi="Times New Roman" w:cs="Times New Roman"/>
          <w:sz w:val="24"/>
          <w:szCs w:val="24"/>
        </w:rPr>
        <w:footnoteReference w:id="58"/>
      </w:r>
      <w:r w:rsidRPr="003E193D">
        <w:rPr>
          <w:rFonts w:ascii="Times New Roman" w:hAnsi="Times New Roman" w:cs="Times New Roman"/>
          <w:sz w:val="24"/>
          <w:szCs w:val="24"/>
        </w:rPr>
        <w:t xml:space="preserve">  </w:t>
      </w:r>
      <w:r w:rsidR="00DD60F0" w:rsidRPr="003E193D">
        <w:rPr>
          <w:rFonts w:ascii="Times New Roman" w:hAnsi="Times New Roman" w:cs="Times New Roman"/>
          <w:sz w:val="24"/>
          <w:szCs w:val="24"/>
        </w:rPr>
        <w:t>For example, courts have enforced oral modifications to written contracts when the part</w:t>
      </w:r>
      <w:r w:rsidR="00D76A57" w:rsidRPr="003E193D">
        <w:rPr>
          <w:rFonts w:ascii="Times New Roman" w:hAnsi="Times New Roman" w:cs="Times New Roman"/>
          <w:sz w:val="24"/>
          <w:szCs w:val="24"/>
        </w:rPr>
        <w:t xml:space="preserve">ies have </w:t>
      </w:r>
      <w:r w:rsidR="00FC2298" w:rsidRPr="003E193D">
        <w:rPr>
          <w:rFonts w:ascii="Times New Roman" w:hAnsi="Times New Roman" w:cs="Times New Roman"/>
          <w:sz w:val="24"/>
          <w:szCs w:val="24"/>
        </w:rPr>
        <w:t xml:space="preserve">partly </w:t>
      </w:r>
      <w:r w:rsidR="00D76A57" w:rsidRPr="003E193D">
        <w:rPr>
          <w:rFonts w:ascii="Times New Roman" w:hAnsi="Times New Roman" w:cs="Times New Roman"/>
          <w:sz w:val="24"/>
          <w:szCs w:val="24"/>
        </w:rPr>
        <w:t>performed pursuant to the oral modification.</w:t>
      </w:r>
      <w:r w:rsidR="00F54A9C" w:rsidRPr="003E193D">
        <w:rPr>
          <w:rStyle w:val="FootnoteReference"/>
          <w:rFonts w:ascii="Times New Roman" w:hAnsi="Times New Roman" w:cs="Times New Roman"/>
          <w:sz w:val="24"/>
          <w:szCs w:val="24"/>
        </w:rPr>
        <w:footnoteReference w:id="59"/>
      </w:r>
      <w:r w:rsidR="00D76A57" w:rsidRPr="003E193D">
        <w:rPr>
          <w:rFonts w:ascii="Times New Roman" w:hAnsi="Times New Roman" w:cs="Times New Roman"/>
          <w:sz w:val="24"/>
          <w:szCs w:val="24"/>
        </w:rPr>
        <w:t xml:space="preserve">  </w:t>
      </w:r>
      <w:r w:rsidR="0085281A" w:rsidRPr="003E193D">
        <w:rPr>
          <w:rFonts w:ascii="Times New Roman" w:hAnsi="Times New Roman" w:cs="Times New Roman"/>
          <w:sz w:val="24"/>
          <w:szCs w:val="24"/>
        </w:rPr>
        <w:t xml:space="preserve">In </w:t>
      </w:r>
      <w:r w:rsidR="0085281A" w:rsidRPr="003E193D">
        <w:rPr>
          <w:rFonts w:ascii="Times New Roman" w:hAnsi="Times New Roman" w:cs="Times New Roman"/>
          <w:i/>
          <w:sz w:val="24"/>
          <w:szCs w:val="24"/>
        </w:rPr>
        <w:t>Hernandez v. Carnes</w:t>
      </w:r>
      <w:r w:rsidR="0085281A" w:rsidRPr="003E193D">
        <w:rPr>
          <w:rFonts w:ascii="Times New Roman" w:hAnsi="Times New Roman" w:cs="Times New Roman"/>
          <w:sz w:val="24"/>
          <w:szCs w:val="24"/>
        </w:rPr>
        <w:t>, buyer H</w:t>
      </w:r>
      <w:r w:rsidR="00506A00" w:rsidRPr="003E193D">
        <w:rPr>
          <w:rFonts w:ascii="Times New Roman" w:hAnsi="Times New Roman" w:cs="Times New Roman"/>
          <w:sz w:val="24"/>
          <w:szCs w:val="24"/>
        </w:rPr>
        <w:t xml:space="preserve">ernandez sued seller Carnes seeking </w:t>
      </w:r>
      <w:r w:rsidR="00E26501" w:rsidRPr="003E193D">
        <w:rPr>
          <w:rFonts w:ascii="Times New Roman" w:hAnsi="Times New Roman" w:cs="Times New Roman"/>
          <w:sz w:val="24"/>
          <w:szCs w:val="24"/>
        </w:rPr>
        <w:t xml:space="preserve">damages and specific performance of an installment purchase contract </w:t>
      </w:r>
      <w:r w:rsidR="00E26501" w:rsidRPr="003E193D">
        <w:rPr>
          <w:rFonts w:ascii="Times New Roman" w:hAnsi="Times New Roman" w:cs="Times New Roman"/>
          <w:sz w:val="24"/>
          <w:szCs w:val="24"/>
        </w:rPr>
        <w:lastRenderedPageBreak/>
        <w:t>(the “Contract”) which involved commercial real property.</w:t>
      </w:r>
      <w:r w:rsidR="008929D3" w:rsidRPr="003E193D">
        <w:rPr>
          <w:rStyle w:val="FootnoteReference"/>
          <w:rFonts w:ascii="Times New Roman" w:hAnsi="Times New Roman" w:cs="Times New Roman"/>
          <w:sz w:val="24"/>
          <w:szCs w:val="24"/>
        </w:rPr>
        <w:footnoteReference w:id="60"/>
      </w:r>
      <w:r w:rsidR="00E26501" w:rsidRPr="003E193D">
        <w:rPr>
          <w:rFonts w:ascii="Times New Roman" w:hAnsi="Times New Roman" w:cs="Times New Roman"/>
          <w:sz w:val="24"/>
          <w:szCs w:val="24"/>
        </w:rPr>
        <w:t xml:space="preserve">  Per the Contract, Hernandez was required to make monthly amortized payments towards the purchase as well as additional payments for property taxes </w:t>
      </w:r>
      <w:r w:rsidR="00227B81" w:rsidRPr="003E193D">
        <w:rPr>
          <w:rFonts w:ascii="Times New Roman" w:hAnsi="Times New Roman" w:cs="Times New Roman"/>
          <w:sz w:val="24"/>
          <w:szCs w:val="24"/>
        </w:rPr>
        <w:t>on tax bills which Carnes had to provide 30 days prior to the due date.  If Hernandez failed to pay the tax amount, Carnes could then pay the bill and add any such amounts to the outstanding amount due under the Contract.</w:t>
      </w:r>
    </w:p>
    <w:p w:rsidR="00227B81" w:rsidRPr="003E193D" w:rsidRDefault="00F55695"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In practice, however, Hernandez paid the tax bills directly to the City for 2001 and 2002 (instead of paying Carnes per the Contract)</w:t>
      </w:r>
      <w:r w:rsidR="00DB05BF" w:rsidRPr="003E193D">
        <w:rPr>
          <w:rFonts w:ascii="Times New Roman" w:hAnsi="Times New Roman" w:cs="Times New Roman"/>
          <w:sz w:val="24"/>
          <w:szCs w:val="24"/>
        </w:rPr>
        <w:t>, as well as back taxes owed for 1998 and 2000.  When Hernandez tried to make the tax payment to the City in 2003, he learned that the City had mistakenly</w:t>
      </w:r>
      <w:r w:rsidR="00A70118" w:rsidRPr="003E193D">
        <w:rPr>
          <w:rFonts w:ascii="Times New Roman" w:hAnsi="Times New Roman" w:cs="Times New Roman"/>
          <w:sz w:val="24"/>
          <w:szCs w:val="24"/>
        </w:rPr>
        <w:t xml:space="preserve"> misallocated the payments for 1</w:t>
      </w:r>
      <w:r w:rsidR="00DB05BF" w:rsidRPr="003E193D">
        <w:rPr>
          <w:rFonts w:ascii="Times New Roman" w:hAnsi="Times New Roman" w:cs="Times New Roman"/>
          <w:sz w:val="24"/>
          <w:szCs w:val="24"/>
        </w:rPr>
        <w:t xml:space="preserve">998 through 2001 and sold the property at a tax sale in 2002.  </w:t>
      </w:r>
      <w:r w:rsidR="00E60F84" w:rsidRPr="003E193D">
        <w:rPr>
          <w:rFonts w:ascii="Times New Roman" w:hAnsi="Times New Roman" w:cs="Times New Roman"/>
          <w:sz w:val="24"/>
          <w:szCs w:val="24"/>
        </w:rPr>
        <w:t xml:space="preserve">Once Hernandez notified Carnes of the tax sale, they both orally agreed that Hernandez did not need to make further monthly payments until Carnes’ title to the property was restored.  In return, Hernandez promised to engage an attorney, at his expense, to resolve the title issue.  The City admitted its error in 2005 and the tax sale purchaser quitclaimed the property back to Carnes.  </w:t>
      </w:r>
      <w:r w:rsidR="000B7C5B" w:rsidRPr="003E193D">
        <w:rPr>
          <w:rFonts w:ascii="Times New Roman" w:hAnsi="Times New Roman" w:cs="Times New Roman"/>
          <w:sz w:val="24"/>
          <w:szCs w:val="24"/>
        </w:rPr>
        <w:t>Hernandez attempted to resume monthly payments per the Contract but Carnes refused to accept them claiming that Hernandez’s failure to make payments from 2003-2005 constituted a breach of the Contract.</w:t>
      </w:r>
    </w:p>
    <w:p w:rsidR="004C4785" w:rsidRPr="003E193D" w:rsidRDefault="004C4785"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Based on the parties’ oral agreement to modify the Contract, Hernandez filed suit for damages and seeking specific performance to enforce the Contract.  Carnes argued that the oral agreement was unenforceable and Hernandez remained obligated to make monthly payments under the Contract.  Summary judgment was granted to Carnes.</w:t>
      </w:r>
      <w:r w:rsidR="00A70118" w:rsidRPr="003E193D">
        <w:rPr>
          <w:rFonts w:ascii="Times New Roman" w:hAnsi="Times New Roman" w:cs="Times New Roman"/>
          <w:sz w:val="24"/>
          <w:szCs w:val="24"/>
        </w:rPr>
        <w:t xml:space="preserve">  </w:t>
      </w:r>
      <w:r w:rsidRPr="003E193D">
        <w:rPr>
          <w:rFonts w:ascii="Times New Roman" w:hAnsi="Times New Roman" w:cs="Times New Roman"/>
          <w:sz w:val="24"/>
          <w:szCs w:val="24"/>
        </w:rPr>
        <w:t xml:space="preserve">The Georgia Court of Appeals reversed holding that the parties’ oral agreement modifying the written contract fell within an exception to the Statute of Frauds.  As such, the oral modification was enforceable.  Although </w:t>
      </w:r>
      <w:r w:rsidRPr="003E193D">
        <w:rPr>
          <w:rFonts w:ascii="Times New Roman" w:hAnsi="Times New Roman" w:cs="Times New Roman"/>
          <w:sz w:val="24"/>
          <w:szCs w:val="24"/>
        </w:rPr>
        <w:lastRenderedPageBreak/>
        <w:t>Hernandez was not under an obligation to do so under the written Contract, he engaged an attorney, at his expense, to cure Carnes’ title problem</w:t>
      </w:r>
      <w:r w:rsidR="002B7B14" w:rsidRPr="003E193D">
        <w:rPr>
          <w:rFonts w:ascii="Times New Roman" w:hAnsi="Times New Roman" w:cs="Times New Roman"/>
          <w:sz w:val="24"/>
          <w:szCs w:val="24"/>
        </w:rPr>
        <w:t xml:space="preserve"> in return for Carnes’ agreement to suspend payments under the Contract.  Hernandez fully performed his obligations under the oral modification.  Moreover, Carnes accepted the benefit of such performance.  The Court of Appeals held that the trial court erred, under these circumstances, in ruling that the oral modification was unenforceable as a matter of law.  There was ample evidence of Hernandez’s part performance entitling </w:t>
      </w:r>
      <w:r w:rsidR="00762E5C" w:rsidRPr="003E193D">
        <w:rPr>
          <w:rFonts w:ascii="Times New Roman" w:hAnsi="Times New Roman" w:cs="Times New Roman"/>
          <w:sz w:val="24"/>
          <w:szCs w:val="24"/>
        </w:rPr>
        <w:t>him to</w:t>
      </w:r>
      <w:r w:rsidR="002B7B14" w:rsidRPr="003E193D">
        <w:rPr>
          <w:rFonts w:ascii="Times New Roman" w:hAnsi="Times New Roman" w:cs="Times New Roman"/>
          <w:sz w:val="24"/>
          <w:szCs w:val="24"/>
        </w:rPr>
        <w:t xml:space="preserve"> get to the jury.  </w:t>
      </w:r>
    </w:p>
    <w:p w:rsidR="002B7B14" w:rsidRPr="003E193D" w:rsidRDefault="00230509"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While there are statutory exceptions to the general Statute of Frauds, it is always better to get any modification to a purchase and sale agreement or other real estate contract in writing, signed by all parties.  Remember that an oral modification is ineffective unless it falls within one of the narrow exceptions to the Statute of Frauds.</w:t>
      </w:r>
    </w:p>
    <w:p w:rsidR="00455C79" w:rsidRPr="003E193D" w:rsidRDefault="00762E5C" w:rsidP="00455C79">
      <w:pPr>
        <w:pStyle w:val="ListParagraph"/>
        <w:numPr>
          <w:ilvl w:val="0"/>
          <w:numId w:val="7"/>
        </w:numPr>
        <w:spacing w:after="0" w:line="480" w:lineRule="auto"/>
        <w:jc w:val="both"/>
        <w:rPr>
          <w:rFonts w:ascii="Times New Roman" w:hAnsi="Times New Roman" w:cs="Times New Roman"/>
          <w:b/>
          <w:sz w:val="24"/>
          <w:szCs w:val="24"/>
        </w:rPr>
      </w:pPr>
      <w:r w:rsidRPr="003E193D">
        <w:rPr>
          <w:rFonts w:ascii="Times New Roman" w:hAnsi="Times New Roman" w:cs="Times New Roman"/>
          <w:b/>
          <w:sz w:val="24"/>
          <w:szCs w:val="24"/>
        </w:rPr>
        <w:t>Proving</w:t>
      </w:r>
      <w:r w:rsidR="00455C79" w:rsidRPr="003E193D">
        <w:rPr>
          <w:rFonts w:ascii="Times New Roman" w:hAnsi="Times New Roman" w:cs="Times New Roman"/>
          <w:b/>
          <w:sz w:val="24"/>
          <w:szCs w:val="24"/>
        </w:rPr>
        <w:t xml:space="preserve"> a Valid Contract</w:t>
      </w:r>
      <w:r w:rsidR="00C35E6B" w:rsidRPr="003E193D">
        <w:rPr>
          <w:rFonts w:ascii="Times New Roman" w:hAnsi="Times New Roman" w:cs="Times New Roman"/>
          <w:b/>
          <w:sz w:val="24"/>
          <w:szCs w:val="24"/>
        </w:rPr>
        <w:t>.</w:t>
      </w:r>
    </w:p>
    <w:p w:rsidR="003124E8" w:rsidRPr="003E193D" w:rsidRDefault="00FF0F37" w:rsidP="003124E8">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u w:val="single"/>
        </w:rPr>
        <w:t>Offer and Acceptance</w:t>
      </w:r>
      <w:r w:rsidRPr="003E193D">
        <w:rPr>
          <w:rFonts w:ascii="Times New Roman" w:hAnsi="Times New Roman" w:cs="Times New Roman"/>
          <w:sz w:val="24"/>
          <w:szCs w:val="24"/>
        </w:rPr>
        <w:t>:  A purchase and sale agreement is incomplete until assented to by both parties</w:t>
      </w:r>
      <w:r w:rsidR="00307E52" w:rsidRPr="003E193D">
        <w:rPr>
          <w:rFonts w:ascii="Times New Roman" w:hAnsi="Times New Roman" w:cs="Times New Roman"/>
          <w:sz w:val="24"/>
          <w:szCs w:val="24"/>
        </w:rPr>
        <w:t>:  “The consent of the parties being essential to a contract, until each has assented to all the terms, there is no binding contract; until assented to, each party ma</w:t>
      </w:r>
      <w:r w:rsidR="00EF46DF" w:rsidRPr="003E193D">
        <w:rPr>
          <w:rFonts w:ascii="Times New Roman" w:hAnsi="Times New Roman" w:cs="Times New Roman"/>
          <w:sz w:val="24"/>
          <w:szCs w:val="24"/>
        </w:rPr>
        <w:t>y</w:t>
      </w:r>
      <w:r w:rsidR="00307E52" w:rsidRPr="003E193D">
        <w:rPr>
          <w:rFonts w:ascii="Times New Roman" w:hAnsi="Times New Roman" w:cs="Times New Roman"/>
          <w:sz w:val="24"/>
          <w:szCs w:val="24"/>
        </w:rPr>
        <w:t xml:space="preserve"> withdraw his bid or proposition.”</w:t>
      </w:r>
      <w:r w:rsidR="00307E52" w:rsidRPr="003E193D">
        <w:rPr>
          <w:rStyle w:val="FootnoteReference"/>
          <w:rFonts w:ascii="Times New Roman" w:hAnsi="Times New Roman" w:cs="Times New Roman"/>
          <w:sz w:val="24"/>
          <w:szCs w:val="24"/>
        </w:rPr>
        <w:footnoteReference w:id="61"/>
      </w:r>
      <w:r w:rsidR="00307E52" w:rsidRPr="003E193D">
        <w:rPr>
          <w:rFonts w:ascii="Times New Roman" w:hAnsi="Times New Roman" w:cs="Times New Roman"/>
          <w:sz w:val="24"/>
          <w:szCs w:val="24"/>
        </w:rPr>
        <w:t xml:space="preserve">  </w:t>
      </w:r>
      <w:r w:rsidRPr="003E193D">
        <w:rPr>
          <w:rFonts w:ascii="Times New Roman" w:hAnsi="Times New Roman" w:cs="Times New Roman"/>
          <w:sz w:val="24"/>
          <w:szCs w:val="24"/>
        </w:rPr>
        <w:t xml:space="preserve">An agreement to agree is not sufficient to produce </w:t>
      </w:r>
      <w:r w:rsidR="00DB0CEC" w:rsidRPr="003E193D">
        <w:rPr>
          <w:rFonts w:ascii="Times New Roman" w:hAnsi="Times New Roman" w:cs="Times New Roman"/>
          <w:sz w:val="24"/>
          <w:szCs w:val="24"/>
        </w:rPr>
        <w:t>a</w:t>
      </w:r>
      <w:r w:rsidRPr="003E193D">
        <w:rPr>
          <w:rFonts w:ascii="Times New Roman" w:hAnsi="Times New Roman" w:cs="Times New Roman"/>
          <w:sz w:val="24"/>
          <w:szCs w:val="24"/>
        </w:rPr>
        <w:t xml:space="preserve"> binding contract</w:t>
      </w:r>
      <w:r w:rsidR="00CA4A9F" w:rsidRPr="003E193D">
        <w:rPr>
          <w:rFonts w:ascii="Times New Roman" w:hAnsi="Times New Roman" w:cs="Times New Roman"/>
          <w:sz w:val="24"/>
          <w:szCs w:val="24"/>
        </w:rPr>
        <w:t>.</w:t>
      </w:r>
      <w:r w:rsidR="00DB0CEC" w:rsidRPr="003E193D">
        <w:rPr>
          <w:rStyle w:val="FootnoteReference"/>
          <w:rFonts w:ascii="Times New Roman" w:hAnsi="Times New Roman" w:cs="Times New Roman"/>
          <w:sz w:val="24"/>
          <w:szCs w:val="24"/>
        </w:rPr>
        <w:footnoteReference w:id="62"/>
      </w:r>
      <w:r w:rsidR="00CA4A9F" w:rsidRPr="003E193D">
        <w:rPr>
          <w:rFonts w:ascii="Times New Roman" w:hAnsi="Times New Roman" w:cs="Times New Roman"/>
          <w:sz w:val="24"/>
          <w:szCs w:val="24"/>
        </w:rPr>
        <w:t xml:space="preserve">  </w:t>
      </w:r>
      <w:r w:rsidR="00F50881" w:rsidRPr="003E193D">
        <w:rPr>
          <w:rFonts w:ascii="Times New Roman" w:hAnsi="Times New Roman" w:cs="Times New Roman"/>
          <w:sz w:val="24"/>
          <w:szCs w:val="24"/>
        </w:rPr>
        <w:t xml:space="preserve">In addition to signing the contract, the contract must be vitalized by delivery to create a binding contract.  </w:t>
      </w:r>
    </w:p>
    <w:p w:rsidR="00FF0F37" w:rsidRPr="003E193D" w:rsidRDefault="003124E8" w:rsidP="003124E8">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A contract should require that an offer be accepted within a stated time</w:t>
      </w:r>
      <w:r w:rsidR="00C568C6" w:rsidRPr="003E193D">
        <w:rPr>
          <w:rFonts w:ascii="Times New Roman" w:hAnsi="Times New Roman" w:cs="Times New Roman"/>
          <w:sz w:val="24"/>
          <w:szCs w:val="24"/>
        </w:rPr>
        <w:t xml:space="preserve"> and the power of acceptance continues as long as the offer remains open (unless the offer is terminated by </w:t>
      </w:r>
      <w:r w:rsidR="00C568C6" w:rsidRPr="003E193D">
        <w:rPr>
          <w:rFonts w:ascii="Times New Roman" w:hAnsi="Times New Roman" w:cs="Times New Roman"/>
          <w:sz w:val="24"/>
          <w:szCs w:val="24"/>
        </w:rPr>
        <w:lastRenderedPageBreak/>
        <w:t>rejection).</w:t>
      </w:r>
      <w:r w:rsidR="00FC4234" w:rsidRPr="003E193D">
        <w:rPr>
          <w:rStyle w:val="FootnoteReference"/>
          <w:rFonts w:ascii="Times New Roman" w:hAnsi="Times New Roman" w:cs="Times New Roman"/>
          <w:sz w:val="24"/>
          <w:szCs w:val="24"/>
        </w:rPr>
        <w:footnoteReference w:id="63"/>
      </w:r>
      <w:r w:rsidR="00C568C6" w:rsidRPr="003E193D">
        <w:rPr>
          <w:rFonts w:ascii="Times New Roman" w:hAnsi="Times New Roman" w:cs="Times New Roman"/>
          <w:sz w:val="24"/>
          <w:szCs w:val="24"/>
        </w:rPr>
        <w:t xml:space="preserve">  </w:t>
      </w:r>
      <w:r w:rsidRPr="003E193D">
        <w:rPr>
          <w:rFonts w:ascii="Times New Roman" w:hAnsi="Times New Roman" w:cs="Times New Roman"/>
          <w:sz w:val="24"/>
          <w:szCs w:val="24"/>
        </w:rPr>
        <w:t>R</w:t>
      </w:r>
      <w:r w:rsidR="0093579E" w:rsidRPr="003E193D">
        <w:rPr>
          <w:rFonts w:ascii="Times New Roman" w:hAnsi="Times New Roman" w:cs="Times New Roman"/>
          <w:sz w:val="24"/>
          <w:szCs w:val="24"/>
        </w:rPr>
        <w:t xml:space="preserve">emember that a counteroffer is generally equivalent to </w:t>
      </w:r>
      <w:r w:rsidR="00A258C5" w:rsidRPr="003E193D">
        <w:rPr>
          <w:rFonts w:ascii="Times New Roman" w:hAnsi="Times New Roman" w:cs="Times New Roman"/>
          <w:sz w:val="24"/>
          <w:szCs w:val="24"/>
        </w:rPr>
        <w:t>a rejection and requires acceptance before the creation of a contract.</w:t>
      </w:r>
      <w:r w:rsidR="00A258C5" w:rsidRPr="003E193D">
        <w:rPr>
          <w:rStyle w:val="FootnoteReference"/>
          <w:rFonts w:ascii="Times New Roman" w:hAnsi="Times New Roman" w:cs="Times New Roman"/>
          <w:sz w:val="24"/>
          <w:szCs w:val="24"/>
        </w:rPr>
        <w:footnoteReference w:id="64"/>
      </w:r>
    </w:p>
    <w:p w:rsidR="00AE2E5D" w:rsidRPr="003E193D" w:rsidRDefault="00FF0F37" w:rsidP="008C4164">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u w:val="single"/>
        </w:rPr>
        <w:t>Consideration</w:t>
      </w:r>
      <w:r w:rsidRPr="003E193D">
        <w:rPr>
          <w:rFonts w:ascii="Times New Roman" w:hAnsi="Times New Roman" w:cs="Times New Roman"/>
          <w:sz w:val="24"/>
          <w:szCs w:val="24"/>
        </w:rPr>
        <w:t xml:space="preserve">:  </w:t>
      </w:r>
      <w:r w:rsidR="00DE13B5" w:rsidRPr="003E193D">
        <w:rPr>
          <w:rFonts w:ascii="Times New Roman" w:hAnsi="Times New Roman" w:cs="Times New Roman"/>
          <w:sz w:val="24"/>
          <w:szCs w:val="24"/>
        </w:rPr>
        <w:t>Like all contracts, a contract for the sale or purchase of land must be supported by valuable consideration</w:t>
      </w:r>
      <w:r w:rsidR="008C4164" w:rsidRPr="003E193D">
        <w:rPr>
          <w:rFonts w:ascii="Times New Roman" w:hAnsi="Times New Roman" w:cs="Times New Roman"/>
          <w:sz w:val="24"/>
          <w:szCs w:val="24"/>
        </w:rPr>
        <w:t>.</w:t>
      </w:r>
      <w:r w:rsidR="00E91656" w:rsidRPr="003E193D">
        <w:rPr>
          <w:rFonts w:ascii="Times New Roman" w:hAnsi="Times New Roman" w:cs="Times New Roman"/>
          <w:sz w:val="24"/>
          <w:szCs w:val="24"/>
        </w:rPr>
        <w:t xml:space="preserve">  </w:t>
      </w:r>
      <w:r w:rsidR="00936985" w:rsidRPr="003E193D">
        <w:rPr>
          <w:rFonts w:ascii="Times New Roman" w:hAnsi="Times New Roman" w:cs="Times New Roman"/>
          <w:sz w:val="24"/>
          <w:szCs w:val="24"/>
        </w:rPr>
        <w:t>“A nominal consideration is sufficient t</w:t>
      </w:r>
      <w:r w:rsidR="00FC48D5" w:rsidRPr="003E193D">
        <w:rPr>
          <w:rFonts w:ascii="Times New Roman" w:hAnsi="Times New Roman" w:cs="Times New Roman"/>
          <w:sz w:val="24"/>
          <w:szCs w:val="24"/>
        </w:rPr>
        <w:t xml:space="preserve">o support a written promise to </w:t>
      </w:r>
      <w:r w:rsidR="00936985" w:rsidRPr="003E193D">
        <w:rPr>
          <w:rFonts w:ascii="Times New Roman" w:hAnsi="Times New Roman" w:cs="Times New Roman"/>
          <w:sz w:val="24"/>
          <w:szCs w:val="24"/>
        </w:rPr>
        <w:t>convey at a future date for a stated price, and actual payment of the recited sum is unnecessary, since if not paid, it may be sued for and recovered.”</w:t>
      </w:r>
      <w:r w:rsidR="00FC48D5" w:rsidRPr="003E193D">
        <w:rPr>
          <w:rStyle w:val="FootnoteReference"/>
          <w:rFonts w:ascii="Times New Roman" w:hAnsi="Times New Roman" w:cs="Times New Roman"/>
          <w:sz w:val="24"/>
          <w:szCs w:val="24"/>
        </w:rPr>
        <w:footnoteReference w:id="65"/>
      </w:r>
      <w:r w:rsidR="00FC48D5" w:rsidRPr="003E193D">
        <w:rPr>
          <w:rFonts w:ascii="Times New Roman" w:hAnsi="Times New Roman" w:cs="Times New Roman"/>
          <w:sz w:val="24"/>
          <w:szCs w:val="24"/>
        </w:rPr>
        <w:t xml:space="preserve">  For example, a standard provision suffici</w:t>
      </w:r>
      <w:r w:rsidR="00186CF8" w:rsidRPr="003E193D">
        <w:rPr>
          <w:rFonts w:ascii="Times New Roman" w:hAnsi="Times New Roman" w:cs="Times New Roman"/>
          <w:sz w:val="24"/>
          <w:szCs w:val="24"/>
        </w:rPr>
        <w:t>ent so support consideration typically appears just before the “meat” of the agreement stating:  “NOW, THEREFORE, for and in consideration of Ten and No/100ths Dol</w:t>
      </w:r>
      <w:r w:rsidR="00C25D0E" w:rsidRPr="003E193D">
        <w:rPr>
          <w:rFonts w:ascii="Times New Roman" w:hAnsi="Times New Roman" w:cs="Times New Roman"/>
          <w:sz w:val="24"/>
          <w:szCs w:val="24"/>
        </w:rPr>
        <w:t>lars ($10.</w:t>
      </w:r>
      <w:r w:rsidR="00186CF8" w:rsidRPr="003E193D">
        <w:rPr>
          <w:rFonts w:ascii="Times New Roman" w:hAnsi="Times New Roman" w:cs="Times New Roman"/>
          <w:sz w:val="24"/>
          <w:szCs w:val="24"/>
        </w:rPr>
        <w:t xml:space="preserve">00), the mutual promises and covenants contained herein and other good and valuable consideration, the receipt and sufficiency of which is hereby acknowledged by each of the parties hereto, the parties agree as follows …”  </w:t>
      </w:r>
      <w:r w:rsidR="00C35E6B" w:rsidRPr="003E193D">
        <w:rPr>
          <w:rFonts w:ascii="Times New Roman" w:hAnsi="Times New Roman" w:cs="Times New Roman"/>
          <w:sz w:val="24"/>
          <w:szCs w:val="24"/>
        </w:rPr>
        <w:t>Note that any agreements ancillary to the purchase and sale agreement will likely require separate, independent consideration.</w:t>
      </w:r>
    </w:p>
    <w:p w:rsidR="006405DB" w:rsidRPr="003E193D" w:rsidRDefault="00B8791F" w:rsidP="006405DB">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Disputes Over the Return of Earnest Money and Discrepancies Over Purchase Agreement Dates</w:t>
      </w:r>
      <w:r w:rsidR="00762E5C" w:rsidRPr="003E193D">
        <w:rPr>
          <w:rFonts w:ascii="Times New Roman" w:hAnsi="Times New Roman" w:cs="Times New Roman"/>
          <w:b/>
          <w:sz w:val="24"/>
          <w:szCs w:val="24"/>
        </w:rPr>
        <w:t>.</w:t>
      </w:r>
    </w:p>
    <w:p w:rsidR="00BB67D6" w:rsidRPr="003E193D" w:rsidRDefault="00BB67D6" w:rsidP="00BB67D6">
      <w:pPr>
        <w:pStyle w:val="ListParagraph"/>
        <w:rPr>
          <w:rFonts w:ascii="Times New Roman" w:hAnsi="Times New Roman" w:cs="Times New Roman"/>
          <w:b/>
          <w:sz w:val="24"/>
          <w:szCs w:val="24"/>
        </w:rPr>
      </w:pPr>
    </w:p>
    <w:p w:rsidR="00BB67D6" w:rsidRPr="003E193D" w:rsidRDefault="00BB67D6" w:rsidP="00B72321">
      <w:pPr>
        <w:pStyle w:val="ListParagraph"/>
        <w:numPr>
          <w:ilvl w:val="0"/>
          <w:numId w:val="3"/>
        </w:numPr>
        <w:rPr>
          <w:rFonts w:ascii="Times New Roman" w:hAnsi="Times New Roman" w:cs="Times New Roman"/>
          <w:b/>
          <w:sz w:val="24"/>
          <w:szCs w:val="24"/>
        </w:rPr>
      </w:pPr>
      <w:r w:rsidRPr="003E193D">
        <w:rPr>
          <w:rFonts w:ascii="Times New Roman" w:hAnsi="Times New Roman" w:cs="Times New Roman"/>
          <w:b/>
          <w:sz w:val="24"/>
          <w:szCs w:val="24"/>
        </w:rPr>
        <w:t>Earnest Money</w:t>
      </w:r>
      <w:r w:rsidR="00762E5C" w:rsidRPr="003E193D">
        <w:rPr>
          <w:rFonts w:ascii="Times New Roman" w:hAnsi="Times New Roman" w:cs="Times New Roman"/>
          <w:b/>
          <w:sz w:val="24"/>
          <w:szCs w:val="24"/>
        </w:rPr>
        <w:t>.</w:t>
      </w:r>
    </w:p>
    <w:p w:rsidR="00073F4E" w:rsidRPr="003E193D" w:rsidRDefault="00930C45" w:rsidP="00E96FDD">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A seller typically requires the purchaser to pay a deposit of some agreed upon amount to “seal the deal.”  </w:t>
      </w:r>
      <w:r w:rsidR="00246B8A" w:rsidRPr="003E193D">
        <w:rPr>
          <w:rFonts w:ascii="Times New Roman" w:hAnsi="Times New Roman" w:cs="Times New Roman"/>
          <w:sz w:val="24"/>
          <w:szCs w:val="24"/>
        </w:rPr>
        <w:t>These funds, the earnest money, are held in escrow until the transaction closes.  The amount of earnest money required by the contract can range from nominal to hundreds of thousands of dollars.</w:t>
      </w:r>
      <w:r w:rsidR="005C7CBA" w:rsidRPr="003E193D">
        <w:rPr>
          <w:rFonts w:ascii="Times New Roman" w:hAnsi="Times New Roman" w:cs="Times New Roman"/>
          <w:sz w:val="24"/>
          <w:szCs w:val="24"/>
        </w:rPr>
        <w:t xml:space="preserve">  Depending on the complexity of the transaction and the length of the due diligence period, some contracts provide that a certain percentage of the earnest money becomes </w:t>
      </w:r>
      <w:r w:rsidR="005C7CBA" w:rsidRPr="003E193D">
        <w:rPr>
          <w:rFonts w:ascii="Times New Roman" w:hAnsi="Times New Roman" w:cs="Times New Roman"/>
          <w:sz w:val="24"/>
          <w:szCs w:val="24"/>
        </w:rPr>
        <w:lastRenderedPageBreak/>
        <w:t xml:space="preserve">non-refundable after </w:t>
      </w:r>
      <w:r w:rsidR="009913EA" w:rsidRPr="003E193D">
        <w:rPr>
          <w:rFonts w:ascii="Times New Roman" w:hAnsi="Times New Roman" w:cs="Times New Roman"/>
          <w:sz w:val="24"/>
          <w:szCs w:val="24"/>
        </w:rPr>
        <w:t xml:space="preserve">a certain number of days.  This structure can be beneficial to both parties as it provides some protection to the seller but also limits the purchaser’s exposure on the front-end.  </w:t>
      </w:r>
    </w:p>
    <w:p w:rsidR="00246B8A" w:rsidRPr="003E193D" w:rsidRDefault="004D0E01" w:rsidP="00E96FDD">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Often the contract will provide that purchaser must pay the earnest money within 3 or 7 days.  If you are the seller, it is important to make sure that the purchaser actually pays the earnest money on the stated date to avoid a waiver defense to the payment of same.</w:t>
      </w:r>
      <w:r w:rsidR="006E2DE2" w:rsidRPr="003E193D">
        <w:rPr>
          <w:rStyle w:val="FootnoteReference"/>
          <w:rFonts w:ascii="Times New Roman" w:hAnsi="Times New Roman" w:cs="Times New Roman"/>
          <w:sz w:val="24"/>
          <w:szCs w:val="24"/>
        </w:rPr>
        <w:footnoteReference w:id="66"/>
      </w:r>
      <w:r w:rsidRPr="003E193D">
        <w:rPr>
          <w:rFonts w:ascii="Times New Roman" w:hAnsi="Times New Roman" w:cs="Times New Roman"/>
          <w:sz w:val="24"/>
          <w:szCs w:val="24"/>
        </w:rPr>
        <w:t xml:space="preserve">  </w:t>
      </w:r>
      <w:r w:rsidR="005C053B" w:rsidRPr="003E193D">
        <w:rPr>
          <w:rFonts w:ascii="Times New Roman" w:hAnsi="Times New Roman" w:cs="Times New Roman"/>
          <w:sz w:val="24"/>
          <w:szCs w:val="24"/>
        </w:rPr>
        <w:t>Although a provision for forfeiture of earnest money in the event of purchaser’s default has been held to constitute an illegal penalty, such amounts have been considered valid liquidated damages.</w:t>
      </w:r>
      <w:r w:rsidR="005C053B" w:rsidRPr="003E193D">
        <w:rPr>
          <w:rStyle w:val="FootnoteReference"/>
          <w:rFonts w:ascii="Times New Roman" w:hAnsi="Times New Roman" w:cs="Times New Roman"/>
          <w:sz w:val="24"/>
          <w:szCs w:val="24"/>
        </w:rPr>
        <w:footnoteReference w:id="67"/>
      </w:r>
    </w:p>
    <w:p w:rsidR="00BB67D6" w:rsidRPr="003E193D" w:rsidRDefault="00BB67D6" w:rsidP="00E96FDD">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You would be surprised at how often the attorney</w:t>
      </w:r>
      <w:r w:rsidR="00E6678B" w:rsidRPr="003E193D">
        <w:rPr>
          <w:rFonts w:ascii="Times New Roman" w:hAnsi="Times New Roman" w:cs="Times New Roman"/>
          <w:sz w:val="24"/>
          <w:szCs w:val="24"/>
        </w:rPr>
        <w:t>s</w:t>
      </w:r>
      <w:r w:rsidRPr="003E193D">
        <w:rPr>
          <w:rFonts w:ascii="Times New Roman" w:hAnsi="Times New Roman" w:cs="Times New Roman"/>
          <w:sz w:val="24"/>
          <w:szCs w:val="24"/>
        </w:rPr>
        <w:t xml:space="preserve"> responsible for drafting the purchase and sale agreement fail to incl</w:t>
      </w:r>
      <w:r w:rsidR="00E6678B" w:rsidRPr="003E193D">
        <w:rPr>
          <w:rFonts w:ascii="Times New Roman" w:hAnsi="Times New Roman" w:cs="Times New Roman"/>
          <w:sz w:val="24"/>
          <w:szCs w:val="24"/>
        </w:rPr>
        <w:t>ude an escrow provision in the agreement (which would also be signed by the escrow agent) or fail</w:t>
      </w:r>
      <w:r w:rsidRPr="003E193D">
        <w:rPr>
          <w:rFonts w:ascii="Times New Roman" w:hAnsi="Times New Roman" w:cs="Times New Roman"/>
          <w:sz w:val="24"/>
          <w:szCs w:val="24"/>
        </w:rPr>
        <w:t xml:space="preserve"> to draft a </w:t>
      </w:r>
      <w:r w:rsidR="00EE64DB" w:rsidRPr="003E193D">
        <w:rPr>
          <w:rFonts w:ascii="Times New Roman" w:hAnsi="Times New Roman" w:cs="Times New Roman"/>
          <w:sz w:val="24"/>
          <w:szCs w:val="24"/>
        </w:rPr>
        <w:t xml:space="preserve">separate </w:t>
      </w:r>
      <w:r w:rsidRPr="003E193D">
        <w:rPr>
          <w:rFonts w:ascii="Times New Roman" w:hAnsi="Times New Roman" w:cs="Times New Roman"/>
          <w:sz w:val="24"/>
          <w:szCs w:val="24"/>
        </w:rPr>
        <w:t xml:space="preserve">escrow agreement </w:t>
      </w:r>
      <w:r w:rsidR="00EE64DB" w:rsidRPr="003E193D">
        <w:rPr>
          <w:rFonts w:ascii="Times New Roman" w:hAnsi="Times New Roman" w:cs="Times New Roman"/>
          <w:sz w:val="24"/>
          <w:szCs w:val="24"/>
        </w:rPr>
        <w:t xml:space="preserve">as part of the transaction </w:t>
      </w:r>
      <w:r w:rsidR="00E6678B" w:rsidRPr="003E193D">
        <w:rPr>
          <w:rFonts w:ascii="Times New Roman" w:hAnsi="Times New Roman" w:cs="Times New Roman"/>
          <w:sz w:val="24"/>
          <w:szCs w:val="24"/>
        </w:rPr>
        <w:t>documentation</w:t>
      </w:r>
      <w:r w:rsidR="000B5D98" w:rsidRPr="003E193D">
        <w:rPr>
          <w:rFonts w:ascii="Times New Roman" w:hAnsi="Times New Roman" w:cs="Times New Roman"/>
          <w:sz w:val="24"/>
          <w:szCs w:val="24"/>
        </w:rPr>
        <w:t xml:space="preserve"> detailing how the return of earnest money is to be handled</w:t>
      </w:r>
      <w:r w:rsidR="00E6678B" w:rsidRPr="003E193D">
        <w:rPr>
          <w:rFonts w:ascii="Times New Roman" w:hAnsi="Times New Roman" w:cs="Times New Roman"/>
          <w:sz w:val="24"/>
          <w:szCs w:val="24"/>
        </w:rPr>
        <w:t>.  As a</w:t>
      </w:r>
      <w:r w:rsidRPr="003E193D">
        <w:rPr>
          <w:rFonts w:ascii="Times New Roman" w:hAnsi="Times New Roman" w:cs="Times New Roman"/>
          <w:sz w:val="24"/>
          <w:szCs w:val="24"/>
        </w:rPr>
        <w:t xml:space="preserve"> drafting attorney (or the individual or firm responsible for holding the escrowed funds), you WANT a formal </w:t>
      </w:r>
      <w:r w:rsidR="00E6678B" w:rsidRPr="003E193D">
        <w:rPr>
          <w:rFonts w:ascii="Times New Roman" w:hAnsi="Times New Roman" w:cs="Times New Roman"/>
          <w:sz w:val="24"/>
          <w:szCs w:val="24"/>
        </w:rPr>
        <w:t>provision or document</w:t>
      </w:r>
      <w:r w:rsidRPr="003E193D">
        <w:rPr>
          <w:rFonts w:ascii="Times New Roman" w:hAnsi="Times New Roman" w:cs="Times New Roman"/>
          <w:sz w:val="24"/>
          <w:szCs w:val="24"/>
        </w:rPr>
        <w:t xml:space="preserve"> clearly establishing the role of the escrow agent.  The formal </w:t>
      </w:r>
      <w:r w:rsidR="00F12033" w:rsidRPr="003E193D">
        <w:rPr>
          <w:rFonts w:ascii="Times New Roman" w:hAnsi="Times New Roman" w:cs="Times New Roman"/>
          <w:sz w:val="24"/>
          <w:szCs w:val="24"/>
        </w:rPr>
        <w:t>provision or agreement</w:t>
      </w:r>
      <w:r w:rsidRPr="003E193D">
        <w:rPr>
          <w:rFonts w:ascii="Times New Roman" w:hAnsi="Times New Roman" w:cs="Times New Roman"/>
          <w:sz w:val="24"/>
          <w:szCs w:val="24"/>
        </w:rPr>
        <w:t xml:space="preserve"> generally will help to minimize exposure should the transaction not be completed</w:t>
      </w:r>
      <w:r w:rsidR="0021236D" w:rsidRPr="003E193D">
        <w:rPr>
          <w:rFonts w:ascii="Times New Roman" w:hAnsi="Times New Roman" w:cs="Times New Roman"/>
          <w:sz w:val="24"/>
          <w:szCs w:val="24"/>
        </w:rPr>
        <w:t xml:space="preserve"> and the earnest money need to be returned (partly or wholly)</w:t>
      </w:r>
      <w:r w:rsidRPr="003E193D">
        <w:rPr>
          <w:rFonts w:ascii="Times New Roman" w:hAnsi="Times New Roman" w:cs="Times New Roman"/>
          <w:sz w:val="24"/>
          <w:szCs w:val="24"/>
        </w:rPr>
        <w:t xml:space="preserve">, especially if the provision provides that the escrow agent </w:t>
      </w:r>
      <w:r w:rsidR="00EE64DB" w:rsidRPr="003E193D">
        <w:rPr>
          <w:rFonts w:ascii="Times New Roman" w:hAnsi="Times New Roman" w:cs="Times New Roman"/>
          <w:sz w:val="24"/>
          <w:szCs w:val="24"/>
        </w:rPr>
        <w:t xml:space="preserve">can </w:t>
      </w:r>
      <w:r w:rsidR="00F12033" w:rsidRPr="003E193D">
        <w:rPr>
          <w:rFonts w:ascii="Times New Roman" w:hAnsi="Times New Roman" w:cs="Times New Roman"/>
          <w:sz w:val="24"/>
          <w:szCs w:val="24"/>
        </w:rPr>
        <w:t>pay</w:t>
      </w:r>
      <w:r w:rsidR="00EE64DB" w:rsidRPr="003E193D">
        <w:rPr>
          <w:rFonts w:ascii="Times New Roman" w:hAnsi="Times New Roman" w:cs="Times New Roman"/>
          <w:sz w:val="24"/>
          <w:szCs w:val="24"/>
        </w:rPr>
        <w:t xml:space="preserve"> the funds to one of the parties upon a certain threshold event without consent of the other </w:t>
      </w:r>
      <w:r w:rsidRPr="003E193D">
        <w:rPr>
          <w:rFonts w:ascii="Times New Roman" w:hAnsi="Times New Roman" w:cs="Times New Roman"/>
          <w:sz w:val="24"/>
          <w:szCs w:val="24"/>
        </w:rPr>
        <w:t>or</w:t>
      </w:r>
      <w:r w:rsidR="00EE64DB" w:rsidRPr="003E193D">
        <w:rPr>
          <w:rFonts w:ascii="Times New Roman" w:hAnsi="Times New Roman" w:cs="Times New Roman"/>
          <w:sz w:val="24"/>
          <w:szCs w:val="24"/>
        </w:rPr>
        <w:t xml:space="preserve"> that the escrow agent </w:t>
      </w:r>
      <w:r w:rsidRPr="003E193D">
        <w:rPr>
          <w:rFonts w:ascii="Times New Roman" w:hAnsi="Times New Roman" w:cs="Times New Roman"/>
          <w:sz w:val="24"/>
          <w:szCs w:val="24"/>
        </w:rPr>
        <w:t>can simply interplead the funds to a specific court upon notice of a dispute by one of the parties.</w:t>
      </w:r>
    </w:p>
    <w:p w:rsidR="000B5D98" w:rsidRPr="003E193D" w:rsidRDefault="000B5D98" w:rsidP="00E96FDD">
      <w:pPr>
        <w:spacing w:after="0" w:line="480" w:lineRule="auto"/>
        <w:ind w:firstLine="720"/>
        <w:jc w:val="both"/>
        <w:rPr>
          <w:rFonts w:ascii="Times New Roman" w:hAnsi="Times New Roman" w:cs="Times New Roman"/>
          <w:b/>
          <w:sz w:val="24"/>
          <w:szCs w:val="24"/>
        </w:rPr>
      </w:pPr>
      <w:r w:rsidRPr="003E193D">
        <w:rPr>
          <w:rFonts w:ascii="Times New Roman" w:hAnsi="Times New Roman" w:cs="Times New Roman"/>
          <w:sz w:val="24"/>
          <w:szCs w:val="24"/>
        </w:rPr>
        <w:lastRenderedPageBreak/>
        <w:t>If a formal e</w:t>
      </w:r>
      <w:r w:rsidR="0021236D" w:rsidRPr="003E193D">
        <w:rPr>
          <w:rFonts w:ascii="Times New Roman" w:hAnsi="Times New Roman" w:cs="Times New Roman"/>
          <w:sz w:val="24"/>
          <w:szCs w:val="24"/>
        </w:rPr>
        <w:t>arnest money or e</w:t>
      </w:r>
      <w:r w:rsidRPr="003E193D">
        <w:rPr>
          <w:rFonts w:ascii="Times New Roman" w:hAnsi="Times New Roman" w:cs="Times New Roman"/>
          <w:sz w:val="24"/>
          <w:szCs w:val="24"/>
        </w:rPr>
        <w:t>scrow agreement</w:t>
      </w:r>
      <w:r w:rsidR="0021236D" w:rsidRPr="003E193D">
        <w:rPr>
          <w:rFonts w:ascii="Times New Roman" w:hAnsi="Times New Roman" w:cs="Times New Roman"/>
          <w:sz w:val="24"/>
          <w:szCs w:val="24"/>
        </w:rPr>
        <w:t xml:space="preserve"> is to be executed after the execution of the purchase and sale agreement, be sure to consider the effects, if any, of the Merger Doctrine.  </w:t>
      </w:r>
      <w:r w:rsidR="00E96FDD" w:rsidRPr="003E193D">
        <w:rPr>
          <w:rFonts w:ascii="Times New Roman" w:hAnsi="Times New Roman" w:cs="Times New Roman"/>
          <w:sz w:val="24"/>
          <w:szCs w:val="24"/>
        </w:rPr>
        <w:t>Under the Merger Doctrine,</w:t>
      </w:r>
      <w:r w:rsidR="00DB7206" w:rsidRPr="003E193D">
        <w:rPr>
          <w:rFonts w:ascii="Times New Roman" w:hAnsi="Times New Roman" w:cs="Times New Roman"/>
          <w:sz w:val="24"/>
          <w:szCs w:val="24"/>
        </w:rPr>
        <w:t xml:space="preserve"> discussed in more detail below,</w:t>
      </w:r>
      <w:r w:rsidR="00E96FDD" w:rsidRPr="003E193D">
        <w:rPr>
          <w:rFonts w:ascii="Times New Roman" w:hAnsi="Times New Roman" w:cs="Times New Roman"/>
          <w:sz w:val="24"/>
          <w:szCs w:val="24"/>
        </w:rPr>
        <w:t xml:space="preserve"> all prior inconsistent agreements are merged or superseded.</w:t>
      </w:r>
      <w:r w:rsidR="00E96FDD" w:rsidRPr="003E193D">
        <w:rPr>
          <w:rStyle w:val="FootnoteReference"/>
          <w:rFonts w:ascii="Times New Roman" w:hAnsi="Times New Roman" w:cs="Times New Roman"/>
          <w:sz w:val="24"/>
          <w:szCs w:val="24"/>
        </w:rPr>
        <w:footnoteReference w:id="68"/>
      </w:r>
      <w:r w:rsidR="00E96FDD" w:rsidRPr="003E193D">
        <w:rPr>
          <w:rFonts w:ascii="Times New Roman" w:hAnsi="Times New Roman" w:cs="Times New Roman"/>
          <w:sz w:val="24"/>
          <w:szCs w:val="24"/>
        </w:rPr>
        <w:t xml:space="preserve">  </w:t>
      </w:r>
      <w:r w:rsidR="000C0664" w:rsidRPr="003E193D">
        <w:rPr>
          <w:rFonts w:ascii="Times New Roman" w:hAnsi="Times New Roman" w:cs="Times New Roman"/>
          <w:sz w:val="24"/>
          <w:szCs w:val="24"/>
        </w:rPr>
        <w:t>You want to make sure that the</w:t>
      </w:r>
      <w:r w:rsidR="000B4C43" w:rsidRPr="003E193D">
        <w:rPr>
          <w:rFonts w:ascii="Times New Roman" w:hAnsi="Times New Roman" w:cs="Times New Roman"/>
          <w:sz w:val="24"/>
          <w:szCs w:val="24"/>
        </w:rPr>
        <w:t xml:space="preserve"> subsequently executed agreement does not contain inconsistent terms that would supersede the purchase and sale agreement unless that is the intention of the parties.</w:t>
      </w:r>
    </w:p>
    <w:p w:rsidR="00BB67D6" w:rsidRPr="003E193D" w:rsidRDefault="00BB67D6" w:rsidP="003A5293">
      <w:pPr>
        <w:pStyle w:val="ListParagraph"/>
        <w:numPr>
          <w:ilvl w:val="0"/>
          <w:numId w:val="3"/>
        </w:numPr>
        <w:rPr>
          <w:rFonts w:ascii="Times New Roman" w:hAnsi="Times New Roman" w:cs="Times New Roman"/>
          <w:b/>
          <w:sz w:val="24"/>
          <w:szCs w:val="24"/>
        </w:rPr>
      </w:pPr>
      <w:r w:rsidRPr="003E193D">
        <w:rPr>
          <w:rFonts w:ascii="Times New Roman" w:hAnsi="Times New Roman" w:cs="Times New Roman"/>
          <w:b/>
          <w:sz w:val="24"/>
          <w:szCs w:val="24"/>
        </w:rPr>
        <w:t>Purchase Agreement Dates</w:t>
      </w:r>
      <w:r w:rsidR="00762E5C" w:rsidRPr="003E193D">
        <w:rPr>
          <w:rFonts w:ascii="Times New Roman" w:hAnsi="Times New Roman" w:cs="Times New Roman"/>
          <w:b/>
          <w:sz w:val="24"/>
          <w:szCs w:val="24"/>
        </w:rPr>
        <w:t>.</w:t>
      </w:r>
    </w:p>
    <w:p w:rsidR="00BA3B5D" w:rsidRPr="003E193D" w:rsidRDefault="0050475A" w:rsidP="0050475A">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Disputes often arise over the Effective Date of a purchase and sale agreement or perhaps the beginning or termination of an Inspection Period.  </w:t>
      </w:r>
      <w:r w:rsidR="007B2574" w:rsidRPr="003E193D">
        <w:rPr>
          <w:rFonts w:ascii="Times New Roman" w:hAnsi="Times New Roman" w:cs="Times New Roman"/>
          <w:sz w:val="24"/>
          <w:szCs w:val="24"/>
        </w:rPr>
        <w:t>For example, does the agreement become effective for purposes of calculating subsequent deadlines on the date it is signed by the purchaser, the date it is signed by the seller, the date it is signed by the escrow agent (in addition to the parties</w:t>
      </w:r>
      <w:r w:rsidR="000C0664" w:rsidRPr="003E193D">
        <w:rPr>
          <w:rFonts w:ascii="Times New Roman" w:hAnsi="Times New Roman" w:cs="Times New Roman"/>
          <w:sz w:val="24"/>
          <w:szCs w:val="24"/>
        </w:rPr>
        <w:t>)</w:t>
      </w:r>
      <w:r w:rsidR="007B2574" w:rsidRPr="003E193D">
        <w:rPr>
          <w:rFonts w:ascii="Times New Roman" w:hAnsi="Times New Roman" w:cs="Times New Roman"/>
          <w:sz w:val="24"/>
          <w:szCs w:val="24"/>
        </w:rPr>
        <w:t xml:space="preserve"> or the date listed in the first par</w:t>
      </w:r>
      <w:r w:rsidR="00981CD7" w:rsidRPr="003E193D">
        <w:rPr>
          <w:rFonts w:ascii="Times New Roman" w:hAnsi="Times New Roman" w:cs="Times New Roman"/>
          <w:sz w:val="24"/>
          <w:szCs w:val="24"/>
        </w:rPr>
        <w:t>agraph of the agreement regard</w:t>
      </w:r>
      <w:r w:rsidR="007B2574" w:rsidRPr="003E193D">
        <w:rPr>
          <w:rFonts w:ascii="Times New Roman" w:hAnsi="Times New Roman" w:cs="Times New Roman"/>
          <w:sz w:val="24"/>
          <w:szCs w:val="24"/>
        </w:rPr>
        <w:t>less of date of execution</w:t>
      </w:r>
      <w:r w:rsidR="0087391E" w:rsidRPr="003E193D">
        <w:rPr>
          <w:rFonts w:ascii="Times New Roman" w:hAnsi="Times New Roman" w:cs="Times New Roman"/>
          <w:sz w:val="24"/>
          <w:szCs w:val="24"/>
        </w:rPr>
        <w:t>.  It is extremely important that the benchmark date used to calculate subsequent deadlines, typically the Effective Date of the agreement, is specifically defined in the agreement (</w:t>
      </w:r>
      <w:r w:rsidR="0087391E" w:rsidRPr="003E193D">
        <w:rPr>
          <w:rFonts w:ascii="Times New Roman" w:hAnsi="Times New Roman" w:cs="Times New Roman"/>
          <w:i/>
          <w:sz w:val="24"/>
          <w:szCs w:val="24"/>
        </w:rPr>
        <w:t>i.e</w:t>
      </w:r>
      <w:r w:rsidR="0087391E" w:rsidRPr="003E193D">
        <w:rPr>
          <w:rFonts w:ascii="Times New Roman" w:hAnsi="Times New Roman" w:cs="Times New Roman"/>
          <w:sz w:val="24"/>
          <w:szCs w:val="24"/>
        </w:rPr>
        <w:t>., June 30, 2016 or “</w:t>
      </w:r>
      <w:r w:rsidR="00976F52" w:rsidRPr="003E193D">
        <w:rPr>
          <w:rFonts w:ascii="Times New Roman" w:hAnsi="Times New Roman" w:cs="Times New Roman"/>
          <w:sz w:val="24"/>
          <w:szCs w:val="24"/>
        </w:rPr>
        <w:t xml:space="preserve">the date executed by the last Necessary Party as defined herein”).  While it is nice to have some </w:t>
      </w:r>
      <w:r w:rsidR="009E4161" w:rsidRPr="003E193D">
        <w:rPr>
          <w:rFonts w:ascii="Times New Roman" w:hAnsi="Times New Roman" w:cs="Times New Roman"/>
          <w:sz w:val="24"/>
          <w:szCs w:val="24"/>
        </w:rPr>
        <w:t>flexibility</w:t>
      </w:r>
      <w:r w:rsidR="00976F52" w:rsidRPr="003E193D">
        <w:rPr>
          <w:rFonts w:ascii="Times New Roman" w:hAnsi="Times New Roman" w:cs="Times New Roman"/>
          <w:sz w:val="24"/>
          <w:szCs w:val="24"/>
        </w:rPr>
        <w:t xml:space="preserve">, it is best to be as definite as possible.  After all, depending on the dynamic between the parties, an amendment modifying such dates </w:t>
      </w:r>
      <w:r w:rsidR="009E4161" w:rsidRPr="003E193D">
        <w:rPr>
          <w:rFonts w:ascii="Times New Roman" w:hAnsi="Times New Roman" w:cs="Times New Roman"/>
          <w:sz w:val="24"/>
          <w:szCs w:val="24"/>
        </w:rPr>
        <w:t xml:space="preserve">can be very easy.  Also, be sure that if you modify a </w:t>
      </w:r>
      <w:r w:rsidR="00981CD7" w:rsidRPr="003E193D">
        <w:rPr>
          <w:rFonts w:ascii="Times New Roman" w:hAnsi="Times New Roman" w:cs="Times New Roman"/>
          <w:sz w:val="24"/>
          <w:szCs w:val="24"/>
        </w:rPr>
        <w:t>date or range which a</w:t>
      </w:r>
      <w:r w:rsidR="009E4161" w:rsidRPr="003E193D">
        <w:rPr>
          <w:rFonts w:ascii="Times New Roman" w:hAnsi="Times New Roman" w:cs="Times New Roman"/>
          <w:sz w:val="24"/>
          <w:szCs w:val="24"/>
        </w:rPr>
        <w:t>ffect</w:t>
      </w:r>
      <w:r w:rsidR="00981CD7" w:rsidRPr="003E193D">
        <w:rPr>
          <w:rFonts w:ascii="Times New Roman" w:hAnsi="Times New Roman" w:cs="Times New Roman"/>
          <w:sz w:val="24"/>
          <w:szCs w:val="24"/>
        </w:rPr>
        <w:t>s</w:t>
      </w:r>
      <w:r w:rsidR="009E4161" w:rsidRPr="003E193D">
        <w:rPr>
          <w:rFonts w:ascii="Times New Roman" w:hAnsi="Times New Roman" w:cs="Times New Roman"/>
          <w:sz w:val="24"/>
          <w:szCs w:val="24"/>
        </w:rPr>
        <w:t xml:space="preserve"> subsequent deadlines, you st</w:t>
      </w:r>
      <w:r w:rsidR="00981CD7" w:rsidRPr="003E193D">
        <w:rPr>
          <w:rFonts w:ascii="Times New Roman" w:hAnsi="Times New Roman" w:cs="Times New Roman"/>
          <w:sz w:val="24"/>
          <w:szCs w:val="24"/>
        </w:rPr>
        <w:t>ate how such deadlines will be a</w:t>
      </w:r>
      <w:r w:rsidR="009E4161" w:rsidRPr="003E193D">
        <w:rPr>
          <w:rFonts w:ascii="Times New Roman" w:hAnsi="Times New Roman" w:cs="Times New Roman"/>
          <w:sz w:val="24"/>
          <w:szCs w:val="24"/>
        </w:rPr>
        <w:t xml:space="preserve">ffected </w:t>
      </w:r>
      <w:r w:rsidR="00762E5C" w:rsidRPr="003E193D">
        <w:rPr>
          <w:rFonts w:ascii="Times New Roman" w:hAnsi="Times New Roman" w:cs="Times New Roman"/>
          <w:sz w:val="24"/>
          <w:szCs w:val="24"/>
        </w:rPr>
        <w:t>in the</w:t>
      </w:r>
      <w:r w:rsidR="009E4161" w:rsidRPr="003E193D">
        <w:rPr>
          <w:rFonts w:ascii="Times New Roman" w:hAnsi="Times New Roman" w:cs="Times New Roman"/>
          <w:sz w:val="24"/>
          <w:szCs w:val="24"/>
        </w:rPr>
        <w:t xml:space="preserve"> written modification.  </w:t>
      </w:r>
      <w:r w:rsidR="004F1C1F" w:rsidRPr="003E193D">
        <w:rPr>
          <w:rFonts w:ascii="Times New Roman" w:hAnsi="Times New Roman" w:cs="Times New Roman"/>
          <w:sz w:val="24"/>
          <w:szCs w:val="24"/>
        </w:rPr>
        <w:t xml:space="preserve">Making sure that dates, deadlines and ranges set forth in the agreement do not contradict can be tedious.  However, the dates set the framework for the entire transaction and should be thoroughly vetted during the drafting process.  </w:t>
      </w:r>
      <w:r w:rsidR="004F1C1F" w:rsidRPr="003E193D">
        <w:rPr>
          <w:rFonts w:ascii="Times New Roman" w:hAnsi="Times New Roman" w:cs="Times New Roman"/>
          <w:sz w:val="24"/>
          <w:szCs w:val="24"/>
        </w:rPr>
        <w:lastRenderedPageBreak/>
        <w:t xml:space="preserve">It is also helpful to create an actual timeline which can be attached as an exhibit to the agreement. </w:t>
      </w:r>
    </w:p>
    <w:p w:rsidR="00B8791F" w:rsidRPr="003E193D" w:rsidRDefault="00B8791F" w:rsidP="00B72321">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Demanding Specific Performance</w:t>
      </w:r>
      <w:r w:rsidR="00B26829" w:rsidRPr="003E193D">
        <w:rPr>
          <w:rFonts w:ascii="Times New Roman" w:hAnsi="Times New Roman" w:cs="Times New Roman"/>
          <w:b/>
          <w:sz w:val="24"/>
          <w:szCs w:val="24"/>
        </w:rPr>
        <w:t xml:space="preserve"> or Rescission</w:t>
      </w:r>
      <w:r w:rsidR="00F063B8" w:rsidRPr="003E193D">
        <w:rPr>
          <w:rFonts w:ascii="Times New Roman" w:hAnsi="Times New Roman" w:cs="Times New Roman"/>
          <w:b/>
          <w:sz w:val="24"/>
          <w:szCs w:val="24"/>
        </w:rPr>
        <w:t>.</w:t>
      </w:r>
      <w:r w:rsidR="00B26829" w:rsidRPr="003E193D">
        <w:rPr>
          <w:rFonts w:ascii="Times New Roman" w:hAnsi="Times New Roman" w:cs="Times New Roman"/>
          <w:b/>
          <w:sz w:val="24"/>
          <w:szCs w:val="24"/>
        </w:rPr>
        <w:t xml:space="preserve"> </w:t>
      </w:r>
    </w:p>
    <w:p w:rsidR="0018756B" w:rsidRPr="003E193D" w:rsidRDefault="00895811" w:rsidP="00895811">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Parties to purchase and sale agreements that go wrong often seek recovery based on breach of contract</w:t>
      </w:r>
      <w:r w:rsidR="00D13FF9" w:rsidRPr="003E193D">
        <w:rPr>
          <w:rFonts w:ascii="Times New Roman" w:hAnsi="Times New Roman" w:cs="Times New Roman"/>
          <w:sz w:val="24"/>
          <w:szCs w:val="24"/>
        </w:rPr>
        <w:t xml:space="preserve">, </w:t>
      </w:r>
      <w:r w:rsidR="00D13FF9" w:rsidRPr="003E193D">
        <w:rPr>
          <w:rFonts w:ascii="Times New Roman" w:hAnsi="Times New Roman" w:cs="Times New Roman"/>
          <w:i/>
          <w:sz w:val="24"/>
          <w:szCs w:val="24"/>
        </w:rPr>
        <w:t>i.e.</w:t>
      </w:r>
      <w:r w:rsidR="00D13FF9" w:rsidRPr="003E193D">
        <w:rPr>
          <w:rFonts w:ascii="Times New Roman" w:hAnsi="Times New Roman" w:cs="Times New Roman"/>
          <w:sz w:val="24"/>
          <w:szCs w:val="24"/>
        </w:rPr>
        <w:t>, recovery of monetary damages</w:t>
      </w:r>
      <w:r w:rsidRPr="003E193D">
        <w:rPr>
          <w:rFonts w:ascii="Times New Roman" w:hAnsi="Times New Roman" w:cs="Times New Roman"/>
          <w:sz w:val="24"/>
          <w:szCs w:val="24"/>
        </w:rPr>
        <w:t xml:space="preserve">.  However, two other potential remedies which should be considered are specific performance and rescission.  </w:t>
      </w:r>
    </w:p>
    <w:p w:rsidR="00F063B8" w:rsidRPr="003E193D" w:rsidRDefault="00F063B8" w:rsidP="00F063B8">
      <w:pPr>
        <w:pStyle w:val="ListParagraph"/>
        <w:numPr>
          <w:ilvl w:val="0"/>
          <w:numId w:val="8"/>
        </w:numPr>
        <w:spacing w:after="0" w:line="480" w:lineRule="auto"/>
        <w:jc w:val="both"/>
        <w:rPr>
          <w:rFonts w:ascii="Times New Roman" w:hAnsi="Times New Roman" w:cs="Times New Roman"/>
          <w:b/>
          <w:sz w:val="24"/>
          <w:szCs w:val="24"/>
        </w:rPr>
      </w:pPr>
      <w:r w:rsidRPr="003E193D">
        <w:rPr>
          <w:rFonts w:ascii="Times New Roman" w:hAnsi="Times New Roman" w:cs="Times New Roman"/>
          <w:b/>
          <w:sz w:val="24"/>
          <w:szCs w:val="24"/>
        </w:rPr>
        <w:t>Specific Performance</w:t>
      </w:r>
      <w:r w:rsidR="00762E5C" w:rsidRPr="003E193D">
        <w:rPr>
          <w:rFonts w:ascii="Times New Roman" w:hAnsi="Times New Roman" w:cs="Times New Roman"/>
          <w:b/>
          <w:sz w:val="24"/>
          <w:szCs w:val="24"/>
        </w:rPr>
        <w:t>.</w:t>
      </w:r>
    </w:p>
    <w:p w:rsidR="00277B27" w:rsidRPr="003E193D" w:rsidRDefault="00277B27"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Specific performance</w:t>
      </w:r>
      <w:r w:rsidR="001A35BB" w:rsidRPr="003E193D">
        <w:rPr>
          <w:rFonts w:ascii="Times New Roman" w:hAnsi="Times New Roman" w:cs="Times New Roman"/>
          <w:sz w:val="24"/>
          <w:szCs w:val="24"/>
        </w:rPr>
        <w:t xml:space="preserve"> is an equitable remedy for breach of contract.  It</w:t>
      </w:r>
      <w:r w:rsidRPr="003E193D">
        <w:rPr>
          <w:rFonts w:ascii="Times New Roman" w:hAnsi="Times New Roman" w:cs="Times New Roman"/>
          <w:sz w:val="24"/>
          <w:szCs w:val="24"/>
        </w:rPr>
        <w:t xml:space="preserve"> is an order of a court which requires a party to perform a specific act, usually what is stated in the contract.  It is an alternative to awarding damages</w:t>
      </w:r>
      <w:r w:rsidR="00717077" w:rsidRPr="003E193D">
        <w:rPr>
          <w:rFonts w:ascii="Times New Roman" w:hAnsi="Times New Roman" w:cs="Times New Roman"/>
          <w:sz w:val="24"/>
          <w:szCs w:val="24"/>
        </w:rPr>
        <w:t xml:space="preserve"> and </w:t>
      </w:r>
      <w:r w:rsidR="00A540D0" w:rsidRPr="003E193D">
        <w:rPr>
          <w:rFonts w:ascii="Times New Roman" w:hAnsi="Times New Roman" w:cs="Times New Roman"/>
          <w:sz w:val="24"/>
          <w:szCs w:val="24"/>
        </w:rPr>
        <w:t>is known as the remedy most effective in protecting an innocent party’s expectations and interest in a contract.</w:t>
      </w:r>
      <w:r w:rsidR="00B35018" w:rsidRPr="003E193D">
        <w:rPr>
          <w:rFonts w:ascii="Times New Roman" w:hAnsi="Times New Roman" w:cs="Times New Roman"/>
          <w:sz w:val="24"/>
          <w:szCs w:val="24"/>
        </w:rPr>
        <w:t xml:space="preserve">  </w:t>
      </w:r>
      <w:r w:rsidR="00A747F1" w:rsidRPr="003E193D">
        <w:rPr>
          <w:rFonts w:ascii="Times New Roman" w:hAnsi="Times New Roman" w:cs="Times New Roman"/>
          <w:sz w:val="24"/>
          <w:szCs w:val="24"/>
        </w:rPr>
        <w:t>“Specific performance, if within the power of the party, will be decreed, generally, whenever the damages recoverable at law would not be an adequate compensation for nonperformance.”</w:t>
      </w:r>
      <w:r w:rsidR="005B13AD" w:rsidRPr="003E193D">
        <w:rPr>
          <w:rStyle w:val="FootnoteReference"/>
          <w:rFonts w:ascii="Times New Roman" w:hAnsi="Times New Roman" w:cs="Times New Roman"/>
          <w:sz w:val="24"/>
          <w:szCs w:val="24"/>
        </w:rPr>
        <w:footnoteReference w:id="69"/>
      </w:r>
      <w:r w:rsidR="00A747F1" w:rsidRPr="003E193D">
        <w:rPr>
          <w:rFonts w:ascii="Times New Roman" w:hAnsi="Times New Roman" w:cs="Times New Roman"/>
          <w:sz w:val="24"/>
          <w:szCs w:val="24"/>
        </w:rPr>
        <w:t xml:space="preserve">  It </w:t>
      </w:r>
      <w:r w:rsidR="00B35018" w:rsidRPr="003E193D">
        <w:rPr>
          <w:rFonts w:ascii="Times New Roman" w:hAnsi="Times New Roman" w:cs="Times New Roman"/>
          <w:sz w:val="24"/>
          <w:szCs w:val="24"/>
        </w:rPr>
        <w:t xml:space="preserve">can be an attractive remedy in real estate disputes because </w:t>
      </w:r>
      <w:r w:rsidR="009636ED" w:rsidRPr="003E193D">
        <w:rPr>
          <w:rFonts w:ascii="Times New Roman" w:hAnsi="Times New Roman" w:cs="Times New Roman"/>
          <w:sz w:val="24"/>
          <w:szCs w:val="24"/>
        </w:rPr>
        <w:t>real property is “</w:t>
      </w:r>
      <w:r w:rsidR="00B35018" w:rsidRPr="003E193D">
        <w:rPr>
          <w:rFonts w:ascii="Times New Roman" w:hAnsi="Times New Roman" w:cs="Times New Roman"/>
          <w:sz w:val="24"/>
          <w:szCs w:val="24"/>
        </w:rPr>
        <w:t>unique</w:t>
      </w:r>
      <w:r w:rsidR="009636ED" w:rsidRPr="003E193D">
        <w:rPr>
          <w:rFonts w:ascii="Times New Roman" w:hAnsi="Times New Roman" w:cs="Times New Roman"/>
          <w:sz w:val="24"/>
          <w:szCs w:val="24"/>
        </w:rPr>
        <w:t>”</w:t>
      </w:r>
      <w:r w:rsidR="00B35018" w:rsidRPr="003E193D">
        <w:rPr>
          <w:rFonts w:ascii="Times New Roman" w:hAnsi="Times New Roman" w:cs="Times New Roman"/>
          <w:sz w:val="24"/>
          <w:szCs w:val="24"/>
        </w:rPr>
        <w:t xml:space="preserve"> and, therefore, it is </w:t>
      </w:r>
      <w:r w:rsidR="000E1245" w:rsidRPr="003E193D">
        <w:rPr>
          <w:rFonts w:ascii="Times New Roman" w:hAnsi="Times New Roman" w:cs="Times New Roman"/>
          <w:sz w:val="24"/>
          <w:szCs w:val="24"/>
        </w:rPr>
        <w:t>usually proven easily that monetary damages are inadequate</w:t>
      </w:r>
      <w:r w:rsidR="0064006A" w:rsidRPr="003E193D">
        <w:rPr>
          <w:rFonts w:ascii="Times New Roman" w:hAnsi="Times New Roman" w:cs="Times New Roman"/>
          <w:sz w:val="24"/>
          <w:szCs w:val="24"/>
        </w:rPr>
        <w:t xml:space="preserve">.  </w:t>
      </w:r>
      <w:r w:rsidR="003A7716" w:rsidRPr="003E193D">
        <w:rPr>
          <w:rFonts w:ascii="Times New Roman" w:hAnsi="Times New Roman" w:cs="Times New Roman"/>
          <w:sz w:val="24"/>
          <w:szCs w:val="24"/>
        </w:rPr>
        <w:t>“It is well established that monetary damages are not an adequate remedy where … the contract sought to be enforced involve[s] the sale of unique real property.”</w:t>
      </w:r>
      <w:r w:rsidR="00396835" w:rsidRPr="003E193D">
        <w:rPr>
          <w:rStyle w:val="FootnoteReference"/>
          <w:rFonts w:ascii="Times New Roman" w:hAnsi="Times New Roman" w:cs="Times New Roman"/>
          <w:sz w:val="24"/>
          <w:szCs w:val="24"/>
        </w:rPr>
        <w:footnoteReference w:id="70"/>
      </w:r>
      <w:r w:rsidR="005B13AD" w:rsidRPr="003E193D">
        <w:rPr>
          <w:rFonts w:ascii="Times New Roman" w:hAnsi="Times New Roman" w:cs="Times New Roman"/>
          <w:sz w:val="24"/>
          <w:szCs w:val="24"/>
        </w:rPr>
        <w:t xml:space="preserve"> As such, parties often argue that specific performance is the only way to put the innocent party in the position for which it contracted</w:t>
      </w:r>
      <w:r w:rsidR="00EC32D4" w:rsidRPr="003E193D">
        <w:rPr>
          <w:rFonts w:ascii="Times New Roman" w:hAnsi="Times New Roman" w:cs="Times New Roman"/>
          <w:sz w:val="24"/>
          <w:szCs w:val="24"/>
        </w:rPr>
        <w:t xml:space="preserve">.  This rule applies equally when specific performance </w:t>
      </w:r>
      <w:r w:rsidR="00757B2B" w:rsidRPr="003E193D">
        <w:rPr>
          <w:rFonts w:ascii="Times New Roman" w:hAnsi="Times New Roman" w:cs="Times New Roman"/>
          <w:sz w:val="24"/>
          <w:szCs w:val="24"/>
        </w:rPr>
        <w:t>is sought by the seller or the purchaser.</w:t>
      </w:r>
      <w:r w:rsidR="00757B2B" w:rsidRPr="003E193D">
        <w:rPr>
          <w:rStyle w:val="FootnoteReference"/>
          <w:rFonts w:ascii="Times New Roman" w:hAnsi="Times New Roman" w:cs="Times New Roman"/>
          <w:sz w:val="24"/>
          <w:szCs w:val="24"/>
        </w:rPr>
        <w:footnoteReference w:id="71"/>
      </w:r>
    </w:p>
    <w:p w:rsidR="006F5764" w:rsidRPr="003E193D" w:rsidRDefault="000A033A"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In granting specific performance, a court compels the performance of specific acts.  As such, the purchase and sale agreement must be sufficiently certain to make the act which the </w:t>
      </w:r>
      <w:r w:rsidRPr="003E193D">
        <w:rPr>
          <w:rFonts w:ascii="Times New Roman" w:hAnsi="Times New Roman" w:cs="Times New Roman"/>
          <w:sz w:val="24"/>
          <w:szCs w:val="24"/>
        </w:rPr>
        <w:lastRenderedPageBreak/>
        <w:t xml:space="preserve">court is compelling ascertainable.  </w:t>
      </w:r>
      <w:r w:rsidR="007472F9" w:rsidRPr="003E193D">
        <w:rPr>
          <w:rFonts w:ascii="Times New Roman" w:hAnsi="Times New Roman" w:cs="Times New Roman"/>
          <w:sz w:val="24"/>
          <w:szCs w:val="24"/>
        </w:rPr>
        <w:t>If the purchase and sale agreement is not sufficiently certain (</w:t>
      </w:r>
      <w:r w:rsidR="007472F9" w:rsidRPr="003E193D">
        <w:rPr>
          <w:rFonts w:ascii="Times New Roman" w:hAnsi="Times New Roman" w:cs="Times New Roman"/>
          <w:i/>
          <w:sz w:val="24"/>
          <w:szCs w:val="24"/>
        </w:rPr>
        <w:t>i.e.</w:t>
      </w:r>
      <w:r w:rsidR="007472F9" w:rsidRPr="003E193D">
        <w:rPr>
          <w:rFonts w:ascii="Times New Roman" w:hAnsi="Times New Roman" w:cs="Times New Roman"/>
          <w:sz w:val="24"/>
          <w:szCs w:val="24"/>
        </w:rPr>
        <w:t xml:space="preserve">, </w:t>
      </w:r>
      <w:r w:rsidR="00462CFE" w:rsidRPr="003E193D">
        <w:rPr>
          <w:rFonts w:ascii="Times New Roman" w:hAnsi="Times New Roman" w:cs="Times New Roman"/>
          <w:sz w:val="24"/>
          <w:szCs w:val="24"/>
        </w:rPr>
        <w:t>there is doubt as to whether the agreement is supported by adequate consideration or is legally binding)</w:t>
      </w:r>
      <w:r w:rsidR="0021244A" w:rsidRPr="003E193D">
        <w:rPr>
          <w:rFonts w:ascii="Times New Roman" w:hAnsi="Times New Roman" w:cs="Times New Roman"/>
          <w:sz w:val="24"/>
          <w:szCs w:val="24"/>
        </w:rPr>
        <w:t xml:space="preserve"> or does not specify the act that is to be performed (</w:t>
      </w:r>
      <w:r w:rsidR="0021244A" w:rsidRPr="003E193D">
        <w:rPr>
          <w:rFonts w:ascii="Times New Roman" w:hAnsi="Times New Roman" w:cs="Times New Roman"/>
          <w:i/>
          <w:sz w:val="24"/>
          <w:szCs w:val="24"/>
        </w:rPr>
        <w:t>i.e</w:t>
      </w:r>
      <w:r w:rsidR="0021244A" w:rsidRPr="003E193D">
        <w:rPr>
          <w:rFonts w:ascii="Times New Roman" w:hAnsi="Times New Roman" w:cs="Times New Roman"/>
          <w:sz w:val="24"/>
          <w:szCs w:val="24"/>
        </w:rPr>
        <w:t xml:space="preserve">., conveyance of certain property via a warranty deed), seeking specific performance will be of little help.  </w:t>
      </w:r>
      <w:r w:rsidR="00054DDC" w:rsidRPr="003E193D">
        <w:rPr>
          <w:rFonts w:ascii="Times New Roman" w:hAnsi="Times New Roman" w:cs="Times New Roman"/>
          <w:sz w:val="24"/>
          <w:szCs w:val="24"/>
        </w:rPr>
        <w:t>For example, a court may deny specific performance</w:t>
      </w:r>
      <w:r w:rsidR="006C2819" w:rsidRPr="003E193D">
        <w:rPr>
          <w:rFonts w:ascii="Times New Roman" w:hAnsi="Times New Roman" w:cs="Times New Roman"/>
          <w:sz w:val="24"/>
          <w:szCs w:val="24"/>
        </w:rPr>
        <w:t xml:space="preserve"> of a contract for an inadequate price.  </w:t>
      </w:r>
    </w:p>
    <w:p w:rsidR="006F5764" w:rsidRPr="003E193D" w:rsidRDefault="006F5764"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It is also important to remember that Georgia law specifically requires the tender of the contract sales price to obtain specific performance.</w:t>
      </w:r>
      <w:r w:rsidRPr="003E193D">
        <w:rPr>
          <w:rStyle w:val="FootnoteReference"/>
          <w:rFonts w:ascii="Times New Roman" w:hAnsi="Times New Roman" w:cs="Times New Roman"/>
          <w:sz w:val="24"/>
          <w:szCs w:val="24"/>
        </w:rPr>
        <w:footnoteReference w:id="72"/>
      </w:r>
      <w:r w:rsidRPr="003E193D">
        <w:rPr>
          <w:rFonts w:ascii="Times New Roman" w:hAnsi="Times New Roman" w:cs="Times New Roman"/>
          <w:sz w:val="24"/>
          <w:szCs w:val="24"/>
        </w:rPr>
        <w:t xml:space="preserve">  </w:t>
      </w:r>
      <w:r w:rsidR="002F3B96" w:rsidRPr="003E193D">
        <w:rPr>
          <w:rFonts w:ascii="Times New Roman" w:hAnsi="Times New Roman" w:cs="Times New Roman"/>
          <w:sz w:val="24"/>
          <w:szCs w:val="24"/>
        </w:rPr>
        <w:t>Payment of earnest money is not sufficient.</w:t>
      </w:r>
      <w:r w:rsidR="002F3B96" w:rsidRPr="003E193D">
        <w:rPr>
          <w:rStyle w:val="FootnoteReference"/>
          <w:rFonts w:ascii="Times New Roman" w:hAnsi="Times New Roman" w:cs="Times New Roman"/>
          <w:sz w:val="24"/>
          <w:szCs w:val="24"/>
        </w:rPr>
        <w:footnoteReference w:id="73"/>
      </w:r>
      <w:r w:rsidR="002F3B96" w:rsidRPr="003E193D">
        <w:rPr>
          <w:rFonts w:ascii="Times New Roman" w:hAnsi="Times New Roman" w:cs="Times New Roman"/>
          <w:sz w:val="24"/>
          <w:szCs w:val="24"/>
        </w:rPr>
        <w:t xml:space="preserve">  </w:t>
      </w:r>
      <w:r w:rsidR="00104F82" w:rsidRPr="003E193D">
        <w:rPr>
          <w:rFonts w:ascii="Times New Roman" w:hAnsi="Times New Roman" w:cs="Times New Roman"/>
          <w:sz w:val="24"/>
          <w:szCs w:val="24"/>
        </w:rPr>
        <w:t>Even if the seller cannot deliver title to the subject property, the tender of the purchase price must still be made for specific performance to be awarded</w:t>
      </w:r>
      <w:r w:rsidR="00BC3235" w:rsidRPr="003E193D">
        <w:rPr>
          <w:rFonts w:ascii="Times New Roman" w:hAnsi="Times New Roman" w:cs="Times New Roman"/>
          <w:sz w:val="24"/>
          <w:szCs w:val="24"/>
        </w:rPr>
        <w:t>.  An allegation that the plaintiff seeking specific performance is “willing and able” to close is insufficient.</w:t>
      </w:r>
      <w:r w:rsidR="00CB2C0E" w:rsidRPr="003E193D">
        <w:rPr>
          <w:rStyle w:val="FootnoteReference"/>
          <w:rFonts w:ascii="Times New Roman" w:hAnsi="Times New Roman" w:cs="Times New Roman"/>
          <w:sz w:val="24"/>
          <w:szCs w:val="24"/>
        </w:rPr>
        <w:footnoteReference w:id="74"/>
      </w:r>
      <w:r w:rsidR="00BC3235" w:rsidRPr="003E193D">
        <w:rPr>
          <w:rFonts w:ascii="Times New Roman" w:hAnsi="Times New Roman" w:cs="Times New Roman"/>
          <w:sz w:val="24"/>
          <w:szCs w:val="24"/>
        </w:rPr>
        <w:t xml:space="preserve">  “[T]ender cannot be avoided by a promise to pay or an assertion in pleadings</w:t>
      </w:r>
      <w:r w:rsidR="00CB2C0E" w:rsidRPr="003E193D">
        <w:rPr>
          <w:rFonts w:ascii="Times New Roman" w:hAnsi="Times New Roman" w:cs="Times New Roman"/>
          <w:sz w:val="24"/>
          <w:szCs w:val="24"/>
        </w:rPr>
        <w:t xml:space="preserve"> of a willingness to pay.”</w:t>
      </w:r>
      <w:r w:rsidR="00CB2C0E" w:rsidRPr="003E193D">
        <w:rPr>
          <w:rStyle w:val="FootnoteReference"/>
          <w:rFonts w:ascii="Times New Roman" w:hAnsi="Times New Roman" w:cs="Times New Roman"/>
          <w:sz w:val="24"/>
          <w:szCs w:val="24"/>
        </w:rPr>
        <w:footnoteReference w:id="75"/>
      </w:r>
    </w:p>
    <w:p w:rsidR="000A033A" w:rsidRPr="003E193D" w:rsidRDefault="00017288"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Finally, w</w:t>
      </w:r>
      <w:r w:rsidR="0021244A" w:rsidRPr="003E193D">
        <w:rPr>
          <w:rFonts w:ascii="Times New Roman" w:hAnsi="Times New Roman" w:cs="Times New Roman"/>
          <w:sz w:val="24"/>
          <w:szCs w:val="24"/>
        </w:rPr>
        <w:t>hen considering the remedy of specific performance, be sure to carefully read th</w:t>
      </w:r>
      <w:r w:rsidR="00857D75" w:rsidRPr="003E193D">
        <w:rPr>
          <w:rFonts w:ascii="Times New Roman" w:hAnsi="Times New Roman" w:cs="Times New Roman"/>
          <w:sz w:val="24"/>
          <w:szCs w:val="24"/>
        </w:rPr>
        <w:t>e contract to make sure all the</w:t>
      </w:r>
      <w:r w:rsidR="0004722E" w:rsidRPr="003E193D">
        <w:rPr>
          <w:rFonts w:ascii="Times New Roman" w:hAnsi="Times New Roman" w:cs="Times New Roman"/>
          <w:sz w:val="24"/>
          <w:szCs w:val="24"/>
        </w:rPr>
        <w:t xml:space="preserve"> elements necessary to establish a valid and enforceable contract can be satisfied</w:t>
      </w:r>
      <w:r w:rsidR="00DD197C" w:rsidRPr="003E193D">
        <w:rPr>
          <w:rFonts w:ascii="Times New Roman" w:hAnsi="Times New Roman" w:cs="Times New Roman"/>
          <w:sz w:val="24"/>
          <w:szCs w:val="24"/>
        </w:rPr>
        <w:t>.  Specific performance will not be granted when the contract lacks in certainty in any material respect.</w:t>
      </w:r>
      <w:r w:rsidR="00DD197C" w:rsidRPr="003E193D">
        <w:rPr>
          <w:rStyle w:val="FootnoteReference"/>
          <w:rFonts w:ascii="Times New Roman" w:hAnsi="Times New Roman" w:cs="Times New Roman"/>
          <w:sz w:val="24"/>
          <w:szCs w:val="24"/>
        </w:rPr>
        <w:footnoteReference w:id="76"/>
      </w:r>
      <w:r w:rsidR="00DD197C" w:rsidRPr="003E193D">
        <w:rPr>
          <w:rFonts w:ascii="Times New Roman" w:hAnsi="Times New Roman" w:cs="Times New Roman"/>
          <w:sz w:val="24"/>
          <w:szCs w:val="24"/>
        </w:rPr>
        <w:t xml:space="preserve">  Also, make sure that</w:t>
      </w:r>
      <w:r w:rsidRPr="003E193D">
        <w:rPr>
          <w:rFonts w:ascii="Times New Roman" w:hAnsi="Times New Roman" w:cs="Times New Roman"/>
          <w:sz w:val="24"/>
          <w:szCs w:val="24"/>
        </w:rPr>
        <w:t xml:space="preserve"> the party seeking performance is not guilty of unclean hands</w:t>
      </w:r>
      <w:r w:rsidR="00DD197C" w:rsidRPr="003E193D">
        <w:rPr>
          <w:rFonts w:ascii="Times New Roman" w:hAnsi="Times New Roman" w:cs="Times New Roman"/>
          <w:sz w:val="24"/>
          <w:szCs w:val="24"/>
        </w:rPr>
        <w:t xml:space="preserve"> which will</w:t>
      </w:r>
      <w:r w:rsidR="00241188" w:rsidRPr="003E193D">
        <w:rPr>
          <w:rFonts w:ascii="Times New Roman" w:hAnsi="Times New Roman" w:cs="Times New Roman"/>
          <w:sz w:val="24"/>
          <w:szCs w:val="24"/>
        </w:rPr>
        <w:t xml:space="preserve"> also</w:t>
      </w:r>
      <w:r w:rsidR="00DD197C" w:rsidRPr="003E193D">
        <w:rPr>
          <w:rFonts w:ascii="Times New Roman" w:hAnsi="Times New Roman" w:cs="Times New Roman"/>
          <w:sz w:val="24"/>
          <w:szCs w:val="24"/>
        </w:rPr>
        <w:t xml:space="preserve"> bar the remedy of specific performance</w:t>
      </w:r>
      <w:r w:rsidR="0004722E" w:rsidRPr="003E193D">
        <w:rPr>
          <w:rFonts w:ascii="Times New Roman" w:hAnsi="Times New Roman" w:cs="Times New Roman"/>
          <w:sz w:val="24"/>
          <w:szCs w:val="24"/>
        </w:rPr>
        <w:t>.</w:t>
      </w:r>
      <w:r w:rsidR="0099313E" w:rsidRPr="003E193D">
        <w:rPr>
          <w:rStyle w:val="FootnoteReference"/>
          <w:rFonts w:ascii="Times New Roman" w:hAnsi="Times New Roman" w:cs="Times New Roman"/>
          <w:sz w:val="24"/>
          <w:szCs w:val="24"/>
        </w:rPr>
        <w:footnoteReference w:id="77"/>
      </w:r>
      <w:r w:rsidR="0004722E" w:rsidRPr="003E193D">
        <w:rPr>
          <w:rFonts w:ascii="Times New Roman" w:hAnsi="Times New Roman" w:cs="Times New Roman"/>
          <w:sz w:val="24"/>
          <w:szCs w:val="24"/>
        </w:rPr>
        <w:t xml:space="preserve">  </w:t>
      </w:r>
    </w:p>
    <w:p w:rsidR="00F063B8" w:rsidRPr="003E193D" w:rsidRDefault="00F063B8" w:rsidP="00F063B8">
      <w:pPr>
        <w:pStyle w:val="ListParagraph"/>
        <w:numPr>
          <w:ilvl w:val="0"/>
          <w:numId w:val="8"/>
        </w:numPr>
        <w:spacing w:after="0" w:line="480" w:lineRule="auto"/>
        <w:jc w:val="both"/>
        <w:rPr>
          <w:rFonts w:ascii="Times New Roman" w:hAnsi="Times New Roman" w:cs="Times New Roman"/>
          <w:b/>
          <w:sz w:val="24"/>
          <w:szCs w:val="24"/>
        </w:rPr>
      </w:pPr>
      <w:r w:rsidRPr="003E193D">
        <w:rPr>
          <w:rFonts w:ascii="Times New Roman" w:hAnsi="Times New Roman" w:cs="Times New Roman"/>
          <w:b/>
          <w:sz w:val="24"/>
          <w:szCs w:val="24"/>
        </w:rPr>
        <w:t>Rescission</w:t>
      </w:r>
      <w:r w:rsidR="00762E5C" w:rsidRPr="003E193D">
        <w:rPr>
          <w:rFonts w:ascii="Times New Roman" w:hAnsi="Times New Roman" w:cs="Times New Roman"/>
          <w:b/>
          <w:sz w:val="24"/>
          <w:szCs w:val="24"/>
        </w:rPr>
        <w:t>.</w:t>
      </w:r>
      <w:r w:rsidRPr="003E193D">
        <w:rPr>
          <w:rFonts w:ascii="Times New Roman" w:hAnsi="Times New Roman" w:cs="Times New Roman"/>
          <w:b/>
          <w:sz w:val="24"/>
          <w:szCs w:val="24"/>
        </w:rPr>
        <w:t xml:space="preserve"> </w:t>
      </w:r>
    </w:p>
    <w:p w:rsidR="001B3C11" w:rsidRPr="003E193D" w:rsidRDefault="002C712B"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lastRenderedPageBreak/>
        <w:t xml:space="preserve">In </w:t>
      </w:r>
      <w:r w:rsidR="00E937F7" w:rsidRPr="003E193D">
        <w:rPr>
          <w:rFonts w:ascii="Times New Roman" w:hAnsi="Times New Roman" w:cs="Times New Roman"/>
          <w:sz w:val="24"/>
          <w:szCs w:val="24"/>
        </w:rPr>
        <w:t>contrast</w:t>
      </w:r>
      <w:r w:rsidRPr="003E193D">
        <w:rPr>
          <w:rFonts w:ascii="Times New Roman" w:hAnsi="Times New Roman" w:cs="Times New Roman"/>
          <w:sz w:val="24"/>
          <w:szCs w:val="24"/>
        </w:rPr>
        <w:t xml:space="preserve"> to specific performance, parties involved in a real estate dispute </w:t>
      </w:r>
      <w:r w:rsidR="008F5047" w:rsidRPr="003E193D">
        <w:rPr>
          <w:rFonts w:ascii="Times New Roman" w:hAnsi="Times New Roman" w:cs="Times New Roman"/>
          <w:sz w:val="24"/>
          <w:szCs w:val="24"/>
        </w:rPr>
        <w:t>may</w:t>
      </w:r>
      <w:r w:rsidRPr="003E193D">
        <w:rPr>
          <w:rFonts w:ascii="Times New Roman" w:hAnsi="Times New Roman" w:cs="Times New Roman"/>
          <w:sz w:val="24"/>
          <w:szCs w:val="24"/>
        </w:rPr>
        <w:t xml:space="preserve"> want to consider </w:t>
      </w:r>
      <w:r w:rsidR="00E937F7" w:rsidRPr="003E193D">
        <w:rPr>
          <w:rFonts w:ascii="Times New Roman" w:hAnsi="Times New Roman" w:cs="Times New Roman"/>
          <w:sz w:val="24"/>
          <w:szCs w:val="24"/>
        </w:rPr>
        <w:t xml:space="preserve">possible </w:t>
      </w:r>
      <w:r w:rsidRPr="003E193D">
        <w:rPr>
          <w:rFonts w:ascii="Times New Roman" w:hAnsi="Times New Roman" w:cs="Times New Roman"/>
          <w:sz w:val="24"/>
          <w:szCs w:val="24"/>
        </w:rPr>
        <w:t xml:space="preserve">rescission of the purchase and sale agreement.  </w:t>
      </w:r>
      <w:r w:rsidR="0018756B" w:rsidRPr="003E193D">
        <w:rPr>
          <w:rFonts w:ascii="Times New Roman" w:hAnsi="Times New Roman" w:cs="Times New Roman"/>
          <w:sz w:val="24"/>
          <w:szCs w:val="24"/>
        </w:rPr>
        <w:t>Parties often seek r</w:t>
      </w:r>
      <w:r w:rsidR="001B3C11" w:rsidRPr="003E193D">
        <w:rPr>
          <w:rFonts w:ascii="Times New Roman" w:hAnsi="Times New Roman" w:cs="Times New Roman"/>
          <w:sz w:val="24"/>
          <w:szCs w:val="24"/>
        </w:rPr>
        <w:t>escission on several grounds</w:t>
      </w:r>
      <w:r w:rsidR="0018756B" w:rsidRPr="003E193D">
        <w:rPr>
          <w:rFonts w:ascii="Times New Roman" w:hAnsi="Times New Roman" w:cs="Times New Roman"/>
          <w:sz w:val="24"/>
          <w:szCs w:val="24"/>
        </w:rPr>
        <w:t xml:space="preserve"> including </w:t>
      </w:r>
      <w:r w:rsidR="001B3C11" w:rsidRPr="003E193D">
        <w:rPr>
          <w:rFonts w:ascii="Times New Roman" w:hAnsi="Times New Roman" w:cs="Times New Roman"/>
          <w:sz w:val="24"/>
          <w:szCs w:val="24"/>
        </w:rPr>
        <w:t xml:space="preserve">failure of consideration, invalidity of the contract, default by one party, fraud or mistake and inadequacy of purchase price.  </w:t>
      </w:r>
    </w:p>
    <w:p w:rsidR="00D47401" w:rsidRPr="003E193D" w:rsidRDefault="00553507"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Rescission is possible by mutual agreement of the parties or by one party seeking rescission via litigation.  In the context of mutual rescission, assuming it takes place before closing, it may be as easy as returning the ear</w:t>
      </w:r>
      <w:r w:rsidR="00D47401" w:rsidRPr="003E193D">
        <w:rPr>
          <w:rFonts w:ascii="Times New Roman" w:hAnsi="Times New Roman" w:cs="Times New Roman"/>
          <w:sz w:val="24"/>
          <w:szCs w:val="24"/>
        </w:rPr>
        <w:t>n</w:t>
      </w:r>
      <w:r w:rsidRPr="003E193D">
        <w:rPr>
          <w:rFonts w:ascii="Times New Roman" w:hAnsi="Times New Roman" w:cs="Times New Roman"/>
          <w:sz w:val="24"/>
          <w:szCs w:val="24"/>
        </w:rPr>
        <w:t>est money paid</w:t>
      </w:r>
      <w:r w:rsidR="00D47401" w:rsidRPr="003E193D">
        <w:rPr>
          <w:rFonts w:ascii="Times New Roman" w:hAnsi="Times New Roman" w:cs="Times New Roman"/>
          <w:sz w:val="24"/>
          <w:szCs w:val="24"/>
        </w:rPr>
        <w:t>.</w:t>
      </w:r>
      <w:r w:rsidR="004B69AC" w:rsidRPr="003E193D">
        <w:rPr>
          <w:rFonts w:ascii="Times New Roman" w:hAnsi="Times New Roman" w:cs="Times New Roman"/>
          <w:sz w:val="24"/>
          <w:szCs w:val="24"/>
        </w:rPr>
        <w:t xml:space="preserve">  If mutual rescission is agreed upon post-closing, re</w:t>
      </w:r>
      <w:r w:rsidR="00F30366" w:rsidRPr="003E193D">
        <w:rPr>
          <w:rFonts w:ascii="Times New Roman" w:hAnsi="Times New Roman" w:cs="Times New Roman"/>
          <w:sz w:val="24"/>
          <w:szCs w:val="24"/>
        </w:rPr>
        <w:t>-</w:t>
      </w:r>
      <w:r w:rsidR="004B69AC" w:rsidRPr="003E193D">
        <w:rPr>
          <w:rFonts w:ascii="Times New Roman" w:hAnsi="Times New Roman" w:cs="Times New Roman"/>
          <w:sz w:val="24"/>
          <w:szCs w:val="24"/>
        </w:rPr>
        <w:t xml:space="preserve">conveyance of the </w:t>
      </w:r>
      <w:r w:rsidR="00F30366" w:rsidRPr="003E193D">
        <w:rPr>
          <w:rFonts w:ascii="Times New Roman" w:hAnsi="Times New Roman" w:cs="Times New Roman"/>
          <w:sz w:val="24"/>
          <w:szCs w:val="24"/>
        </w:rPr>
        <w:t>property</w:t>
      </w:r>
      <w:r w:rsidR="004B69AC" w:rsidRPr="003E193D">
        <w:rPr>
          <w:rFonts w:ascii="Times New Roman" w:hAnsi="Times New Roman" w:cs="Times New Roman"/>
          <w:sz w:val="24"/>
          <w:szCs w:val="24"/>
        </w:rPr>
        <w:t xml:space="preserve"> from buyer to seller is required.  </w:t>
      </w:r>
      <w:r w:rsidR="00F30366" w:rsidRPr="003E193D">
        <w:rPr>
          <w:rFonts w:ascii="Times New Roman" w:hAnsi="Times New Roman" w:cs="Times New Roman"/>
          <w:sz w:val="24"/>
          <w:szCs w:val="24"/>
        </w:rPr>
        <w:t xml:space="preserve">In this situation, each party will want to make sure than any mortgages or security deeds on the property </w:t>
      </w:r>
      <w:r w:rsidR="00A42DF1" w:rsidRPr="003E193D">
        <w:rPr>
          <w:rFonts w:ascii="Times New Roman" w:hAnsi="Times New Roman" w:cs="Times New Roman"/>
          <w:sz w:val="24"/>
          <w:szCs w:val="24"/>
        </w:rPr>
        <w:t>are</w:t>
      </w:r>
      <w:r w:rsidR="00F30366" w:rsidRPr="003E193D">
        <w:rPr>
          <w:rFonts w:ascii="Times New Roman" w:hAnsi="Times New Roman" w:cs="Times New Roman"/>
          <w:sz w:val="24"/>
          <w:szCs w:val="24"/>
        </w:rPr>
        <w:t xml:space="preserve"> handled appropriately and, if necessary, canceled.</w:t>
      </w:r>
      <w:r w:rsidR="007620A8" w:rsidRPr="003E193D">
        <w:rPr>
          <w:rStyle w:val="FootnoteReference"/>
          <w:rFonts w:ascii="Times New Roman" w:hAnsi="Times New Roman" w:cs="Times New Roman"/>
          <w:sz w:val="24"/>
          <w:szCs w:val="24"/>
        </w:rPr>
        <w:footnoteReference w:id="78"/>
      </w:r>
    </w:p>
    <w:p w:rsidR="00A0108A" w:rsidRPr="003E193D" w:rsidRDefault="001F70D3"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Often, purchasers seek to rescind the contract via litigation to recover purchase money paid.  For example, a purchaser may seek rescission where a contract is invalid, the seller is </w:t>
      </w:r>
      <w:r w:rsidR="00A0108A" w:rsidRPr="003E193D">
        <w:rPr>
          <w:rFonts w:ascii="Times New Roman" w:hAnsi="Times New Roman" w:cs="Times New Roman"/>
          <w:sz w:val="24"/>
          <w:szCs w:val="24"/>
        </w:rPr>
        <w:t>guilty</w:t>
      </w:r>
      <w:r w:rsidRPr="003E193D">
        <w:rPr>
          <w:rFonts w:ascii="Times New Roman" w:hAnsi="Times New Roman" w:cs="Times New Roman"/>
          <w:sz w:val="24"/>
          <w:szCs w:val="24"/>
        </w:rPr>
        <w:t xml:space="preserve"> of fraud</w:t>
      </w:r>
      <w:r w:rsidR="008930BC" w:rsidRPr="003E193D">
        <w:rPr>
          <w:rStyle w:val="FootnoteReference"/>
          <w:rFonts w:ascii="Times New Roman" w:hAnsi="Times New Roman" w:cs="Times New Roman"/>
          <w:sz w:val="24"/>
          <w:szCs w:val="24"/>
        </w:rPr>
        <w:footnoteReference w:id="79"/>
      </w:r>
      <w:r w:rsidRPr="003E193D">
        <w:rPr>
          <w:rFonts w:ascii="Times New Roman" w:hAnsi="Times New Roman" w:cs="Times New Roman"/>
          <w:sz w:val="24"/>
          <w:szCs w:val="24"/>
        </w:rPr>
        <w:t xml:space="preserve"> or </w:t>
      </w:r>
      <w:r w:rsidR="00A0108A" w:rsidRPr="003E193D">
        <w:rPr>
          <w:rFonts w:ascii="Times New Roman" w:hAnsi="Times New Roman" w:cs="Times New Roman"/>
          <w:sz w:val="24"/>
          <w:szCs w:val="24"/>
        </w:rPr>
        <w:t xml:space="preserve">defaulted, title was defective or </w:t>
      </w:r>
      <w:r w:rsidR="00AF71C5" w:rsidRPr="003E193D">
        <w:rPr>
          <w:rFonts w:ascii="Times New Roman" w:hAnsi="Times New Roman" w:cs="Times New Roman"/>
          <w:sz w:val="24"/>
          <w:szCs w:val="24"/>
        </w:rPr>
        <w:t xml:space="preserve">there was a deficiency in </w:t>
      </w:r>
      <w:r w:rsidR="00762E5C" w:rsidRPr="003E193D">
        <w:rPr>
          <w:rFonts w:ascii="Times New Roman" w:hAnsi="Times New Roman" w:cs="Times New Roman"/>
          <w:sz w:val="24"/>
          <w:szCs w:val="24"/>
        </w:rPr>
        <w:t>acreage</w:t>
      </w:r>
      <w:r w:rsidR="00A0108A" w:rsidRPr="003E193D">
        <w:rPr>
          <w:rFonts w:ascii="Times New Roman" w:hAnsi="Times New Roman" w:cs="Times New Roman"/>
          <w:sz w:val="24"/>
          <w:szCs w:val="24"/>
        </w:rPr>
        <w:t>.</w:t>
      </w:r>
      <w:r w:rsidR="00987FC6" w:rsidRPr="003E193D">
        <w:rPr>
          <w:rStyle w:val="FootnoteReference"/>
          <w:rFonts w:ascii="Times New Roman" w:hAnsi="Times New Roman" w:cs="Times New Roman"/>
          <w:sz w:val="24"/>
          <w:szCs w:val="24"/>
        </w:rPr>
        <w:footnoteReference w:id="80"/>
      </w:r>
      <w:r w:rsidR="00A0108A" w:rsidRPr="003E193D">
        <w:rPr>
          <w:rFonts w:ascii="Times New Roman" w:hAnsi="Times New Roman" w:cs="Times New Roman"/>
          <w:sz w:val="24"/>
          <w:szCs w:val="24"/>
        </w:rPr>
        <w:t xml:space="preserve">  </w:t>
      </w:r>
      <w:r w:rsidR="006F1EA4" w:rsidRPr="003E193D">
        <w:rPr>
          <w:rFonts w:ascii="Times New Roman" w:hAnsi="Times New Roman" w:cs="Times New Roman"/>
          <w:sz w:val="24"/>
          <w:szCs w:val="24"/>
        </w:rPr>
        <w:t>Purchasers seeking rescission must be very careful not to affirm the contract.  If purchaser affirms, rescission will not be granted.</w:t>
      </w:r>
      <w:r w:rsidR="002F7125" w:rsidRPr="003E193D">
        <w:rPr>
          <w:rFonts w:ascii="Times New Roman" w:hAnsi="Times New Roman" w:cs="Times New Roman"/>
          <w:sz w:val="24"/>
          <w:szCs w:val="24"/>
        </w:rPr>
        <w:t xml:space="preserve"> For example, affirmation is typically found (and rescission barred) where the purchaser, after learning of the seller’s alleged fraud, continues to make improvements on the property</w:t>
      </w:r>
      <w:r w:rsidR="00E2414E" w:rsidRPr="003E193D">
        <w:rPr>
          <w:rFonts w:ascii="Times New Roman" w:hAnsi="Times New Roman" w:cs="Times New Roman"/>
          <w:sz w:val="24"/>
          <w:szCs w:val="24"/>
        </w:rPr>
        <w:t>.</w:t>
      </w:r>
      <w:r w:rsidR="00E2414E" w:rsidRPr="003E193D">
        <w:rPr>
          <w:rStyle w:val="FootnoteReference"/>
          <w:rFonts w:ascii="Times New Roman" w:hAnsi="Times New Roman" w:cs="Times New Roman"/>
          <w:sz w:val="24"/>
          <w:szCs w:val="24"/>
        </w:rPr>
        <w:footnoteReference w:id="81"/>
      </w:r>
    </w:p>
    <w:p w:rsidR="00A178BD" w:rsidRPr="003E193D" w:rsidRDefault="00A178BD"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While a party seeking rescission may sue</w:t>
      </w:r>
      <w:r w:rsidR="004A2977" w:rsidRPr="003E193D">
        <w:rPr>
          <w:rFonts w:ascii="Times New Roman" w:hAnsi="Times New Roman" w:cs="Times New Roman"/>
          <w:sz w:val="24"/>
          <w:szCs w:val="24"/>
        </w:rPr>
        <w:t xml:space="preserve"> for fraud or some other type of wrongdoing surrounding the contract, </w:t>
      </w:r>
      <w:r w:rsidRPr="003E193D">
        <w:rPr>
          <w:rFonts w:ascii="Times New Roman" w:hAnsi="Times New Roman" w:cs="Times New Roman"/>
          <w:sz w:val="24"/>
          <w:szCs w:val="24"/>
        </w:rPr>
        <w:t xml:space="preserve">it </w:t>
      </w:r>
      <w:r w:rsidR="004A2977" w:rsidRPr="003E193D">
        <w:rPr>
          <w:rFonts w:ascii="Times New Roman" w:hAnsi="Times New Roman" w:cs="Times New Roman"/>
          <w:sz w:val="24"/>
          <w:szCs w:val="24"/>
        </w:rPr>
        <w:t xml:space="preserve">cannot </w:t>
      </w:r>
      <w:r w:rsidRPr="003E193D">
        <w:rPr>
          <w:rFonts w:ascii="Times New Roman" w:hAnsi="Times New Roman" w:cs="Times New Roman"/>
          <w:sz w:val="24"/>
          <w:szCs w:val="24"/>
        </w:rPr>
        <w:t xml:space="preserve">recover based on a cause of action for rescission and </w:t>
      </w:r>
      <w:r w:rsidR="004A2977" w:rsidRPr="003E193D">
        <w:rPr>
          <w:rFonts w:ascii="Times New Roman" w:hAnsi="Times New Roman" w:cs="Times New Roman"/>
          <w:sz w:val="24"/>
          <w:szCs w:val="24"/>
        </w:rPr>
        <w:t xml:space="preserve">breach </w:t>
      </w:r>
      <w:r w:rsidR="004A2977" w:rsidRPr="003E193D">
        <w:rPr>
          <w:rFonts w:ascii="Times New Roman" w:hAnsi="Times New Roman" w:cs="Times New Roman"/>
          <w:sz w:val="24"/>
          <w:szCs w:val="24"/>
        </w:rPr>
        <w:lastRenderedPageBreak/>
        <w:t xml:space="preserve">of the contract.  </w:t>
      </w:r>
      <w:r w:rsidR="003C57EE" w:rsidRPr="003E193D">
        <w:rPr>
          <w:rFonts w:ascii="Times New Roman" w:hAnsi="Times New Roman" w:cs="Times New Roman"/>
          <w:sz w:val="24"/>
          <w:szCs w:val="24"/>
        </w:rPr>
        <w:t xml:space="preserve">This is referred to as the </w:t>
      </w:r>
      <w:r w:rsidR="00B63DE1" w:rsidRPr="003E193D">
        <w:rPr>
          <w:rFonts w:ascii="Times New Roman" w:hAnsi="Times New Roman" w:cs="Times New Roman"/>
          <w:sz w:val="24"/>
          <w:szCs w:val="24"/>
        </w:rPr>
        <w:t>“</w:t>
      </w:r>
      <w:r w:rsidR="003C57EE" w:rsidRPr="003E193D">
        <w:rPr>
          <w:rFonts w:ascii="Times New Roman" w:hAnsi="Times New Roman" w:cs="Times New Roman"/>
          <w:sz w:val="24"/>
          <w:szCs w:val="24"/>
        </w:rPr>
        <w:t>election of remedies.</w:t>
      </w:r>
      <w:r w:rsidR="00B63DE1" w:rsidRPr="003E193D">
        <w:rPr>
          <w:rFonts w:ascii="Times New Roman" w:hAnsi="Times New Roman" w:cs="Times New Roman"/>
          <w:sz w:val="24"/>
          <w:szCs w:val="24"/>
        </w:rPr>
        <w:t>”</w:t>
      </w:r>
      <w:r w:rsidR="003C57EE" w:rsidRPr="003E193D">
        <w:rPr>
          <w:rFonts w:ascii="Times New Roman" w:hAnsi="Times New Roman" w:cs="Times New Roman"/>
          <w:sz w:val="24"/>
          <w:szCs w:val="24"/>
        </w:rPr>
        <w:t xml:space="preserve">  It is important that a purchaser seeking rescission via litigation be careful not to waive a cause of action for rescission by filing a complaint for seller’s alleged fraud without requesting such relief.  For example, </w:t>
      </w:r>
      <w:r w:rsidR="0064730A" w:rsidRPr="003E193D">
        <w:rPr>
          <w:rFonts w:ascii="Times New Roman" w:hAnsi="Times New Roman" w:cs="Times New Roman"/>
          <w:sz w:val="24"/>
          <w:szCs w:val="24"/>
        </w:rPr>
        <w:t>the Georgia Court of Appeals has held that a complaint filed by a purchaser seeking damages resulting from alleged fraud of the seller, without alleging any cause of action for rescission, constituted an election of remedies and the purchaser waived any potential rescission claim.</w:t>
      </w:r>
      <w:r w:rsidR="0064730A" w:rsidRPr="003E193D">
        <w:rPr>
          <w:rStyle w:val="FootnoteReference"/>
          <w:rFonts w:ascii="Times New Roman" w:hAnsi="Times New Roman" w:cs="Times New Roman"/>
          <w:sz w:val="24"/>
          <w:szCs w:val="24"/>
        </w:rPr>
        <w:footnoteReference w:id="82"/>
      </w:r>
      <w:r w:rsidR="003C57EE" w:rsidRPr="003E193D">
        <w:rPr>
          <w:rFonts w:ascii="Times New Roman" w:hAnsi="Times New Roman" w:cs="Times New Roman"/>
          <w:sz w:val="24"/>
          <w:szCs w:val="24"/>
        </w:rPr>
        <w:t xml:space="preserve"> </w:t>
      </w:r>
    </w:p>
    <w:p w:rsidR="0073138E" w:rsidRPr="003E193D" w:rsidRDefault="00FB41A5" w:rsidP="002D30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Before electing to rescind a contract, the party should consider the effect of a merger clause on its </w:t>
      </w:r>
      <w:r w:rsidR="0073138E" w:rsidRPr="003E193D">
        <w:rPr>
          <w:rFonts w:ascii="Times New Roman" w:hAnsi="Times New Roman" w:cs="Times New Roman"/>
          <w:sz w:val="24"/>
          <w:szCs w:val="24"/>
        </w:rPr>
        <w:t xml:space="preserve">potential </w:t>
      </w:r>
      <w:r w:rsidRPr="003E193D">
        <w:rPr>
          <w:rFonts w:ascii="Times New Roman" w:hAnsi="Times New Roman" w:cs="Times New Roman"/>
          <w:sz w:val="24"/>
          <w:szCs w:val="24"/>
        </w:rPr>
        <w:t xml:space="preserve">claims.  Many purchase and sale agreements contain a merger clause, also referred to as an “entire agreement clause,” which states that </w:t>
      </w:r>
      <w:r w:rsidR="0073138E" w:rsidRPr="003E193D">
        <w:rPr>
          <w:rFonts w:ascii="Times New Roman" w:hAnsi="Times New Roman" w:cs="Times New Roman"/>
          <w:sz w:val="24"/>
          <w:szCs w:val="24"/>
        </w:rPr>
        <w:t>t</w:t>
      </w:r>
      <w:r w:rsidRPr="003E193D">
        <w:rPr>
          <w:rFonts w:ascii="Times New Roman" w:hAnsi="Times New Roman" w:cs="Times New Roman"/>
          <w:sz w:val="24"/>
          <w:szCs w:val="24"/>
        </w:rPr>
        <w:t xml:space="preserve">he terms contained in the purchase and sale agreement are the only terms of the agreement.  A typical merger clause </w:t>
      </w:r>
      <w:r w:rsidR="00581DA3" w:rsidRPr="003E193D">
        <w:rPr>
          <w:rFonts w:ascii="Times New Roman" w:hAnsi="Times New Roman" w:cs="Times New Roman"/>
          <w:sz w:val="24"/>
          <w:szCs w:val="24"/>
        </w:rPr>
        <w:t xml:space="preserve">states:  “This Agreement constitutes the sole and entire agreement between the parties to this Agreement.  No representation, promise, or inducement not included in this Agreement shall be binding upon any party hereto.”  </w:t>
      </w:r>
    </w:p>
    <w:p w:rsidR="00AE2E5D" w:rsidRPr="003E193D" w:rsidRDefault="00581DA3" w:rsidP="00EB2D81">
      <w:pPr>
        <w:spacing w:line="480" w:lineRule="auto"/>
        <w:ind w:firstLine="360"/>
        <w:jc w:val="both"/>
        <w:rPr>
          <w:rFonts w:ascii="Times New Roman" w:eastAsia="Times New Roman" w:hAnsi="Times New Roman" w:cs="Times New Roman"/>
          <w:sz w:val="24"/>
          <w:szCs w:val="24"/>
        </w:rPr>
      </w:pPr>
      <w:r w:rsidRPr="003E193D">
        <w:rPr>
          <w:rFonts w:ascii="Times New Roman" w:hAnsi="Times New Roman" w:cs="Times New Roman"/>
          <w:sz w:val="24"/>
          <w:szCs w:val="24"/>
        </w:rPr>
        <w:t xml:space="preserve">Merger clauses make it very difficult for purchasers to sue sellers for misrepresentations not contained in the text of the purchase and sale agreement once it is executed.  </w:t>
      </w:r>
      <w:r w:rsidR="00212CC4" w:rsidRPr="003E193D">
        <w:rPr>
          <w:rFonts w:ascii="Times New Roman" w:eastAsia="Times New Roman" w:hAnsi="Times New Roman" w:cs="Times New Roman"/>
          <w:sz w:val="24"/>
          <w:szCs w:val="24"/>
        </w:rPr>
        <w:t>Generally, a merger clause bars reliance on any alleged misrepresentations not contained in the contract itself.</w:t>
      </w:r>
      <w:r w:rsidR="00212CC4" w:rsidRPr="003E193D">
        <w:rPr>
          <w:rFonts w:ascii="Times New Roman" w:eastAsia="Times New Roman" w:hAnsi="Times New Roman" w:cs="Times New Roman"/>
          <w:sz w:val="24"/>
          <w:szCs w:val="24"/>
          <w:vertAlign w:val="superscript"/>
        </w:rPr>
        <w:footnoteReference w:id="83"/>
      </w:r>
      <w:r w:rsidR="00212CC4" w:rsidRPr="003E193D">
        <w:rPr>
          <w:rFonts w:ascii="Times New Roman" w:eastAsia="Times New Roman" w:hAnsi="Times New Roman" w:cs="Times New Roman"/>
          <w:sz w:val="24"/>
          <w:szCs w:val="24"/>
        </w:rPr>
        <w:t xml:space="preserve">  A seller is protected from a claim of fraud or misrepresentation based upon statements made prior to the agreement.</w:t>
      </w:r>
      <w:r w:rsidR="00212CC4" w:rsidRPr="003E193D">
        <w:rPr>
          <w:rFonts w:ascii="Times New Roman" w:eastAsia="Times New Roman" w:hAnsi="Times New Roman" w:cs="Times New Roman"/>
          <w:sz w:val="24"/>
          <w:szCs w:val="24"/>
          <w:vertAlign w:val="superscript"/>
        </w:rPr>
        <w:footnoteReference w:id="84"/>
      </w:r>
      <w:r w:rsidR="00212CC4" w:rsidRPr="003E193D">
        <w:rPr>
          <w:rFonts w:ascii="Times New Roman" w:eastAsia="Times New Roman" w:hAnsi="Times New Roman" w:cs="Times New Roman"/>
          <w:sz w:val="24"/>
          <w:szCs w:val="24"/>
        </w:rPr>
        <w:t xml:space="preserve">  Put another way, the merger clause is like a disclaimer stating that the written contract “completely and comprehensively represents the parties’ agreement.”</w:t>
      </w:r>
      <w:r w:rsidR="00212CC4" w:rsidRPr="003E193D">
        <w:rPr>
          <w:rFonts w:ascii="Times New Roman" w:eastAsia="Times New Roman" w:hAnsi="Times New Roman" w:cs="Times New Roman"/>
          <w:sz w:val="24"/>
          <w:szCs w:val="24"/>
          <w:vertAlign w:val="superscript"/>
        </w:rPr>
        <w:footnoteReference w:id="85"/>
      </w:r>
      <w:r w:rsidR="00212CC4" w:rsidRPr="003E193D">
        <w:rPr>
          <w:rFonts w:ascii="Times New Roman" w:eastAsia="Times New Roman" w:hAnsi="Times New Roman" w:cs="Times New Roman"/>
          <w:sz w:val="24"/>
          <w:szCs w:val="24"/>
        </w:rPr>
        <w:t xml:space="preserve">  </w:t>
      </w:r>
    </w:p>
    <w:p w:rsidR="00B8791F" w:rsidRPr="003E193D" w:rsidRDefault="00B8791F" w:rsidP="00B72321">
      <w:pPr>
        <w:pStyle w:val="ListParagraph"/>
        <w:numPr>
          <w:ilvl w:val="0"/>
          <w:numId w:val="1"/>
        </w:numPr>
        <w:rPr>
          <w:rFonts w:ascii="Times New Roman" w:hAnsi="Times New Roman" w:cs="Times New Roman"/>
          <w:b/>
          <w:sz w:val="24"/>
          <w:szCs w:val="24"/>
        </w:rPr>
      </w:pPr>
      <w:bookmarkStart w:id="21" w:name="_GoBack"/>
      <w:bookmarkEnd w:id="21"/>
      <w:r w:rsidRPr="003E193D">
        <w:rPr>
          <w:rFonts w:ascii="Times New Roman" w:hAnsi="Times New Roman" w:cs="Times New Roman"/>
          <w:b/>
          <w:sz w:val="24"/>
          <w:szCs w:val="24"/>
        </w:rPr>
        <w:t>Assessing Economic Loss</w:t>
      </w:r>
      <w:r w:rsidR="00C54015" w:rsidRPr="003E193D">
        <w:rPr>
          <w:rFonts w:ascii="Times New Roman" w:hAnsi="Times New Roman" w:cs="Times New Roman"/>
          <w:b/>
          <w:sz w:val="24"/>
          <w:szCs w:val="24"/>
        </w:rPr>
        <w:t>/Economic Loss Rule</w:t>
      </w:r>
      <w:r w:rsidR="00CA7EB8" w:rsidRPr="003E193D">
        <w:rPr>
          <w:rFonts w:ascii="Times New Roman" w:hAnsi="Times New Roman" w:cs="Times New Roman"/>
          <w:b/>
          <w:sz w:val="24"/>
          <w:szCs w:val="24"/>
        </w:rPr>
        <w:t>.</w:t>
      </w:r>
    </w:p>
    <w:p w:rsidR="00A56A27" w:rsidRPr="003E193D" w:rsidRDefault="00E30A13" w:rsidP="00A56A27">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Economic loss/damage is a broad term that encompasses all types of economic or monetary loss to businesses or individuals.  </w:t>
      </w:r>
      <w:r w:rsidR="00142290" w:rsidRPr="003E193D">
        <w:rPr>
          <w:rFonts w:ascii="Times New Roman" w:hAnsi="Times New Roman" w:cs="Times New Roman"/>
          <w:sz w:val="24"/>
          <w:szCs w:val="24"/>
        </w:rPr>
        <w:t>When dealing with purchase and sale agreements, the party seeking relief is often faced with seeking remedies in contract or tort, or possibly both.</w:t>
      </w:r>
      <w:r w:rsidR="00A56A27" w:rsidRPr="003E193D">
        <w:rPr>
          <w:rFonts w:ascii="Times New Roman" w:hAnsi="Times New Roman" w:cs="Times New Roman"/>
          <w:sz w:val="24"/>
          <w:szCs w:val="24"/>
        </w:rPr>
        <w:t xml:space="preserve"> Remember that oftentimes the purchase and sale agreement will attempt to limit the types of damages or causes of action that may be brought in the event of a dispute.  For example, the agreement may limit damages to a set amount (</w:t>
      </w:r>
      <w:r w:rsidR="00A56A27" w:rsidRPr="003E193D">
        <w:rPr>
          <w:rFonts w:ascii="Times New Roman" w:hAnsi="Times New Roman" w:cs="Times New Roman"/>
          <w:i/>
          <w:sz w:val="24"/>
          <w:szCs w:val="24"/>
        </w:rPr>
        <w:t>i.e</w:t>
      </w:r>
      <w:r w:rsidR="00A56A27" w:rsidRPr="003E193D">
        <w:rPr>
          <w:rFonts w:ascii="Times New Roman" w:hAnsi="Times New Roman" w:cs="Times New Roman"/>
          <w:sz w:val="24"/>
          <w:szCs w:val="24"/>
        </w:rPr>
        <w:t>., liquidated damages) or disclaim/exclude certain types of damages (</w:t>
      </w:r>
      <w:r w:rsidR="00A56A27" w:rsidRPr="003E193D">
        <w:rPr>
          <w:rFonts w:ascii="Times New Roman" w:hAnsi="Times New Roman" w:cs="Times New Roman"/>
          <w:i/>
          <w:sz w:val="24"/>
          <w:szCs w:val="24"/>
        </w:rPr>
        <w:t>i.e</w:t>
      </w:r>
      <w:r w:rsidR="00A56A27" w:rsidRPr="003E193D">
        <w:rPr>
          <w:rFonts w:ascii="Times New Roman" w:hAnsi="Times New Roman" w:cs="Times New Roman"/>
          <w:sz w:val="24"/>
          <w:szCs w:val="24"/>
        </w:rPr>
        <w:t xml:space="preserve">., consequential damages or punitive damages).  As such, it is very important to make sure the contractual provisions sufficiently address the possible remedies for both parties prior to execution.  </w:t>
      </w:r>
    </w:p>
    <w:p w:rsidR="00A56A27" w:rsidRPr="003E193D" w:rsidRDefault="00A56A27" w:rsidP="00A56A27">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In determining what your damages might be, depending on the terms of the contract and/or the causes of action alleged, consider the following possibilities:</w:t>
      </w:r>
    </w:p>
    <w:p w:rsidR="00A56A27" w:rsidRPr="003E193D" w:rsidRDefault="00A56A27" w:rsidP="00A56A27">
      <w:pPr>
        <w:pStyle w:val="ListParagraph"/>
        <w:numPr>
          <w:ilvl w:val="0"/>
          <w:numId w:val="10"/>
        </w:num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rPr>
        <w:t>Expectation damages (intended to cover what the injured party expected to receive from the contract);</w:t>
      </w:r>
    </w:p>
    <w:p w:rsidR="004F7F06" w:rsidRPr="003E193D" w:rsidRDefault="00A56A27" w:rsidP="004F16BD">
      <w:pPr>
        <w:pStyle w:val="ListParagraph"/>
        <w:numPr>
          <w:ilvl w:val="0"/>
          <w:numId w:val="10"/>
        </w:numPr>
        <w:spacing w:after="0" w:line="480" w:lineRule="auto"/>
        <w:ind w:left="1166" w:firstLine="360"/>
        <w:jc w:val="both"/>
        <w:rPr>
          <w:rFonts w:ascii="Times New Roman" w:hAnsi="Times New Roman" w:cs="Times New Roman"/>
          <w:sz w:val="24"/>
          <w:szCs w:val="24"/>
        </w:rPr>
      </w:pPr>
      <w:r w:rsidRPr="003E193D">
        <w:rPr>
          <w:rFonts w:ascii="Times New Roman" w:hAnsi="Times New Roman" w:cs="Times New Roman"/>
          <w:sz w:val="24"/>
          <w:szCs w:val="24"/>
        </w:rPr>
        <w:t>Consequential damages (damages associated with delay, lost business or lost profits);</w:t>
      </w:r>
    </w:p>
    <w:p w:rsidR="004F7F06" w:rsidRPr="003E193D" w:rsidRDefault="00A56A27" w:rsidP="004F16BD">
      <w:pPr>
        <w:pStyle w:val="ListParagraph"/>
        <w:numPr>
          <w:ilvl w:val="0"/>
          <w:numId w:val="10"/>
        </w:numPr>
        <w:spacing w:after="0" w:line="480" w:lineRule="auto"/>
        <w:ind w:left="1166" w:firstLine="360"/>
        <w:jc w:val="both"/>
        <w:rPr>
          <w:rFonts w:ascii="Times New Roman" w:hAnsi="Times New Roman" w:cs="Times New Roman"/>
          <w:sz w:val="24"/>
          <w:szCs w:val="24"/>
        </w:rPr>
      </w:pPr>
      <w:r w:rsidRPr="003E193D">
        <w:rPr>
          <w:rFonts w:ascii="Times New Roman" w:hAnsi="Times New Roman" w:cs="Times New Roman"/>
          <w:sz w:val="24"/>
          <w:szCs w:val="24"/>
        </w:rPr>
        <w:t>Liquidation damages (specifically stated in the contract);</w:t>
      </w:r>
    </w:p>
    <w:p w:rsidR="004F7F06" w:rsidRPr="003E193D" w:rsidRDefault="00A56A27" w:rsidP="004F16BD">
      <w:pPr>
        <w:pStyle w:val="ListParagraph"/>
        <w:numPr>
          <w:ilvl w:val="0"/>
          <w:numId w:val="10"/>
        </w:numPr>
        <w:spacing w:after="0" w:line="480" w:lineRule="auto"/>
        <w:ind w:left="1166" w:firstLine="360"/>
        <w:jc w:val="both"/>
        <w:rPr>
          <w:rFonts w:ascii="Times New Roman" w:hAnsi="Times New Roman" w:cs="Times New Roman"/>
          <w:sz w:val="24"/>
          <w:szCs w:val="24"/>
        </w:rPr>
      </w:pPr>
      <w:r w:rsidRPr="003E193D">
        <w:rPr>
          <w:rFonts w:ascii="Times New Roman" w:hAnsi="Times New Roman" w:cs="Times New Roman"/>
          <w:sz w:val="24"/>
          <w:szCs w:val="24"/>
        </w:rPr>
        <w:t>Punitive damages (rarely awarded in contract cases but may be available in fraud or tort cases that overlap with contract law);</w:t>
      </w:r>
    </w:p>
    <w:p w:rsidR="004F16BD" w:rsidRPr="003E193D" w:rsidRDefault="00A56A27" w:rsidP="004F16BD">
      <w:pPr>
        <w:pStyle w:val="ListParagraph"/>
        <w:numPr>
          <w:ilvl w:val="0"/>
          <w:numId w:val="10"/>
        </w:numPr>
        <w:spacing w:after="0" w:line="480" w:lineRule="auto"/>
        <w:ind w:left="1166" w:firstLine="360"/>
        <w:jc w:val="both"/>
        <w:rPr>
          <w:rFonts w:ascii="Times New Roman" w:hAnsi="Times New Roman" w:cs="Times New Roman"/>
          <w:sz w:val="24"/>
          <w:szCs w:val="24"/>
        </w:rPr>
      </w:pPr>
      <w:r w:rsidRPr="003E193D">
        <w:rPr>
          <w:rFonts w:ascii="Times New Roman" w:hAnsi="Times New Roman" w:cs="Times New Roman"/>
          <w:sz w:val="24"/>
          <w:szCs w:val="24"/>
        </w:rPr>
        <w:t xml:space="preserve">Nominal damages (awarded when injured party doesn’t actually incur a monetary loss but was still “wronged”); and </w:t>
      </w:r>
    </w:p>
    <w:p w:rsidR="004F16BD" w:rsidRPr="003E193D" w:rsidRDefault="00A56A27" w:rsidP="004F16BD">
      <w:pPr>
        <w:pStyle w:val="ListParagraph"/>
        <w:numPr>
          <w:ilvl w:val="0"/>
          <w:numId w:val="10"/>
        </w:numPr>
        <w:spacing w:after="0" w:line="480" w:lineRule="auto"/>
        <w:ind w:left="1166" w:firstLine="360"/>
        <w:jc w:val="both"/>
        <w:rPr>
          <w:rFonts w:ascii="Times New Roman" w:hAnsi="Times New Roman" w:cs="Times New Roman"/>
          <w:sz w:val="24"/>
          <w:szCs w:val="24"/>
        </w:rPr>
      </w:pPr>
      <w:r w:rsidRPr="003E193D">
        <w:rPr>
          <w:rFonts w:ascii="Times New Roman" w:hAnsi="Times New Roman" w:cs="Times New Roman"/>
          <w:sz w:val="24"/>
          <w:szCs w:val="24"/>
        </w:rPr>
        <w:t>Other financial losses caused by the failure of the transaction to close.</w:t>
      </w:r>
      <w:r w:rsidR="00142290" w:rsidRPr="003E193D">
        <w:rPr>
          <w:rFonts w:ascii="Times New Roman" w:hAnsi="Times New Roman" w:cs="Times New Roman"/>
          <w:sz w:val="24"/>
          <w:szCs w:val="24"/>
        </w:rPr>
        <w:t xml:space="preserve">  </w:t>
      </w:r>
    </w:p>
    <w:p w:rsidR="00496698" w:rsidRPr="003E193D" w:rsidRDefault="004F7F06" w:rsidP="004F16BD">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lastRenderedPageBreak/>
        <w:t xml:space="preserve">It also important to consider the possible application of the economic loss rule.  </w:t>
      </w:r>
      <w:r w:rsidR="00496698" w:rsidRPr="003E193D">
        <w:rPr>
          <w:rFonts w:ascii="Times New Roman" w:hAnsi="Times New Roman" w:cs="Times New Roman"/>
          <w:sz w:val="24"/>
          <w:szCs w:val="24"/>
        </w:rPr>
        <w:t>The purpose of the economic loss rule is “to distinguish between those actions cognizable in tort and those that may be brought only in contract.”</w:t>
      </w:r>
      <w:r w:rsidR="002F2E5A" w:rsidRPr="003E193D">
        <w:rPr>
          <w:rStyle w:val="FootnoteReference"/>
          <w:rFonts w:ascii="Times New Roman" w:hAnsi="Times New Roman" w:cs="Times New Roman"/>
          <w:sz w:val="24"/>
          <w:szCs w:val="24"/>
        </w:rPr>
        <w:footnoteReference w:id="86"/>
      </w:r>
      <w:r w:rsidR="00496698" w:rsidRPr="003E193D">
        <w:rPr>
          <w:rFonts w:ascii="Times New Roman" w:hAnsi="Times New Roman" w:cs="Times New Roman"/>
          <w:sz w:val="24"/>
          <w:szCs w:val="24"/>
        </w:rPr>
        <w:t xml:space="preserve">  </w:t>
      </w:r>
      <w:r w:rsidR="00EA1326" w:rsidRPr="003E193D">
        <w:rPr>
          <w:rFonts w:ascii="Times New Roman" w:hAnsi="Times New Roman" w:cs="Times New Roman"/>
          <w:sz w:val="24"/>
          <w:szCs w:val="24"/>
        </w:rPr>
        <w:t>The Supreme Court of Georgia has stated:</w:t>
      </w:r>
    </w:p>
    <w:p w:rsidR="002F2E5A" w:rsidRPr="003E193D" w:rsidRDefault="00EA1326" w:rsidP="00142290">
      <w:pPr>
        <w:spacing w:after="0" w:line="240" w:lineRule="auto"/>
        <w:ind w:left="720" w:right="720"/>
        <w:jc w:val="both"/>
        <w:rPr>
          <w:rFonts w:ascii="Times New Roman" w:hAnsi="Times New Roman" w:cs="Times New Roman"/>
          <w:sz w:val="24"/>
          <w:szCs w:val="24"/>
        </w:rPr>
      </w:pPr>
      <w:r w:rsidRPr="003E193D">
        <w:rPr>
          <w:rFonts w:ascii="Times New Roman" w:hAnsi="Times New Roman" w:cs="Times New Roman"/>
          <w:sz w:val="24"/>
          <w:szCs w:val="24"/>
        </w:rPr>
        <w:t>The ‘economic loss rule’ generally provides that a contracting party who suffers purely economic losses must seek his remedy in contract and not in tort.  Under the economic loss rule, a plaintiff can recover in tort only those economic losses resulting from injury to his person or damage to his property…</w:t>
      </w:r>
      <w:r w:rsidR="007B3C8C" w:rsidRPr="003E193D">
        <w:rPr>
          <w:rStyle w:val="FootnoteReference"/>
          <w:rFonts w:ascii="Times New Roman" w:hAnsi="Times New Roman" w:cs="Times New Roman"/>
          <w:sz w:val="24"/>
          <w:szCs w:val="24"/>
        </w:rPr>
        <w:footnoteReference w:id="87"/>
      </w:r>
    </w:p>
    <w:p w:rsidR="00142290" w:rsidRPr="003E193D" w:rsidRDefault="00142290" w:rsidP="00142290">
      <w:pPr>
        <w:spacing w:after="0" w:line="240" w:lineRule="auto"/>
        <w:ind w:left="720" w:right="720"/>
        <w:jc w:val="both"/>
        <w:rPr>
          <w:rFonts w:ascii="Times New Roman" w:hAnsi="Times New Roman" w:cs="Times New Roman"/>
          <w:sz w:val="24"/>
          <w:szCs w:val="24"/>
        </w:rPr>
      </w:pPr>
    </w:p>
    <w:p w:rsidR="00324DF2" w:rsidRPr="003E193D" w:rsidRDefault="00324DF2" w:rsidP="002F2E5A">
      <w:pPr>
        <w:spacing w:after="0" w:line="480" w:lineRule="auto"/>
        <w:jc w:val="both"/>
        <w:rPr>
          <w:rFonts w:ascii="Times New Roman" w:hAnsi="Times New Roman" w:cs="Times New Roman"/>
          <w:sz w:val="24"/>
          <w:szCs w:val="24"/>
        </w:rPr>
      </w:pPr>
      <w:r w:rsidRPr="003E193D">
        <w:rPr>
          <w:rFonts w:ascii="Times New Roman" w:hAnsi="Times New Roman" w:cs="Times New Roman"/>
          <w:sz w:val="24"/>
          <w:szCs w:val="24"/>
        </w:rPr>
        <w:t>However, there is a “misrepresentation exception” to the economic loss rule:</w:t>
      </w:r>
    </w:p>
    <w:p w:rsidR="00324DF2" w:rsidRPr="003E193D" w:rsidRDefault="00324DF2" w:rsidP="002F2E5A">
      <w:pPr>
        <w:spacing w:after="0" w:line="240" w:lineRule="auto"/>
        <w:ind w:left="720" w:right="720"/>
        <w:jc w:val="both"/>
        <w:rPr>
          <w:rFonts w:ascii="Times New Roman" w:hAnsi="Times New Roman" w:cs="Times New Roman"/>
          <w:sz w:val="24"/>
          <w:szCs w:val="24"/>
        </w:rPr>
      </w:pPr>
      <w:r w:rsidRPr="003E193D">
        <w:rPr>
          <w:rFonts w:ascii="Times New Roman" w:hAnsi="Times New Roman" w:cs="Times New Roman"/>
          <w:sz w:val="24"/>
          <w:szCs w:val="24"/>
        </w:rPr>
        <w:t>[o]ne who supplies information during the course of his business, profession, employment, or in any transaction in which he has a pecuniary interest has a duty of reasonable care and competence to parties who rely upon the information in circumstances in which the maker was manifestly aware of the use to which the information was to be put and intended that it be so used.  This liability is limited to a foreseeable person or limited class of persons for whom the information was intended, either directly or indirectly.</w:t>
      </w:r>
      <w:r w:rsidR="007B3C8C" w:rsidRPr="003E193D">
        <w:rPr>
          <w:rStyle w:val="FootnoteReference"/>
          <w:rFonts w:ascii="Times New Roman" w:hAnsi="Times New Roman" w:cs="Times New Roman"/>
          <w:sz w:val="24"/>
          <w:szCs w:val="24"/>
        </w:rPr>
        <w:footnoteReference w:id="88"/>
      </w:r>
    </w:p>
    <w:p w:rsidR="002F2E5A" w:rsidRPr="003E193D" w:rsidRDefault="002F2E5A" w:rsidP="002F2E5A">
      <w:pPr>
        <w:spacing w:after="0" w:line="240" w:lineRule="auto"/>
        <w:ind w:left="720" w:right="720"/>
        <w:jc w:val="both"/>
        <w:rPr>
          <w:rFonts w:ascii="Times New Roman" w:hAnsi="Times New Roman" w:cs="Times New Roman"/>
          <w:sz w:val="24"/>
          <w:szCs w:val="24"/>
        </w:rPr>
      </w:pPr>
    </w:p>
    <w:p w:rsidR="001C3CBD" w:rsidRPr="003E193D" w:rsidRDefault="001C3CBD" w:rsidP="00D82709">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While there is very little law in Georgia addressing the economic loss rule in the context of purchase and sale agreements, </w:t>
      </w:r>
      <w:r w:rsidR="00E85D68" w:rsidRPr="003E193D">
        <w:rPr>
          <w:rFonts w:ascii="Times New Roman" w:hAnsi="Times New Roman" w:cs="Times New Roman"/>
          <w:sz w:val="24"/>
          <w:szCs w:val="24"/>
        </w:rPr>
        <w:t>it is important to consider this doctrine in electing the causes of actions to be pursued and the types of damages associated therewith.</w:t>
      </w:r>
    </w:p>
    <w:p w:rsidR="00B8791F" w:rsidRPr="003E193D" w:rsidRDefault="00996617" w:rsidP="00B72321">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 xml:space="preserve">Practical </w:t>
      </w:r>
      <w:r w:rsidR="00B8791F" w:rsidRPr="003E193D">
        <w:rPr>
          <w:rFonts w:ascii="Times New Roman" w:hAnsi="Times New Roman" w:cs="Times New Roman"/>
          <w:b/>
          <w:sz w:val="24"/>
          <w:szCs w:val="24"/>
        </w:rPr>
        <w:t>Options for Settlement</w:t>
      </w:r>
      <w:r w:rsidRPr="003E193D">
        <w:rPr>
          <w:rFonts w:ascii="Times New Roman" w:hAnsi="Times New Roman" w:cs="Times New Roman"/>
          <w:b/>
          <w:sz w:val="24"/>
          <w:szCs w:val="24"/>
        </w:rPr>
        <w:t xml:space="preserve"> of Disputes.</w:t>
      </w:r>
    </w:p>
    <w:p w:rsidR="00107B51" w:rsidRPr="003E193D" w:rsidRDefault="00977D60" w:rsidP="00977D60">
      <w:pPr>
        <w:spacing w:after="0" w:line="480" w:lineRule="auto"/>
        <w:ind w:firstLine="720"/>
        <w:rPr>
          <w:rFonts w:ascii="Times New Roman" w:hAnsi="Times New Roman" w:cs="Times New Roman"/>
          <w:b/>
          <w:sz w:val="24"/>
          <w:szCs w:val="24"/>
        </w:rPr>
      </w:pPr>
      <w:r w:rsidRPr="003E193D">
        <w:rPr>
          <w:rFonts w:ascii="Times New Roman" w:hAnsi="Times New Roman" w:cs="Times New Roman"/>
          <w:b/>
          <w:sz w:val="24"/>
          <w:szCs w:val="24"/>
        </w:rPr>
        <w:t>A.</w:t>
      </w:r>
      <w:r w:rsidRPr="003E193D">
        <w:rPr>
          <w:rFonts w:ascii="Times New Roman" w:hAnsi="Times New Roman" w:cs="Times New Roman"/>
          <w:b/>
          <w:sz w:val="24"/>
          <w:szCs w:val="24"/>
        </w:rPr>
        <w:tab/>
      </w:r>
      <w:r w:rsidR="00E136F5" w:rsidRPr="003E193D">
        <w:rPr>
          <w:rFonts w:ascii="Times New Roman" w:hAnsi="Times New Roman" w:cs="Times New Roman"/>
          <w:b/>
          <w:sz w:val="24"/>
          <w:szCs w:val="24"/>
        </w:rPr>
        <w:t>Agreement on Extension</w:t>
      </w:r>
      <w:r w:rsidR="00107B51" w:rsidRPr="003E193D">
        <w:rPr>
          <w:rFonts w:ascii="Times New Roman" w:hAnsi="Times New Roman" w:cs="Times New Roman"/>
          <w:b/>
          <w:sz w:val="24"/>
          <w:szCs w:val="24"/>
        </w:rPr>
        <w:t>.</w:t>
      </w:r>
      <w:r w:rsidR="00166FCC" w:rsidRPr="003E193D">
        <w:rPr>
          <w:rFonts w:ascii="Times New Roman" w:hAnsi="Times New Roman" w:cs="Times New Roman"/>
          <w:b/>
          <w:sz w:val="24"/>
          <w:szCs w:val="24"/>
        </w:rPr>
        <w:t xml:space="preserve">  </w:t>
      </w:r>
    </w:p>
    <w:p w:rsidR="008A5259" w:rsidRPr="003E193D" w:rsidRDefault="00166FCC" w:rsidP="009D1F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Don’t wait until the last minute to request an extension if necessary.  Open </w:t>
      </w:r>
      <w:r w:rsidR="00CA2AFC" w:rsidRPr="003E193D">
        <w:rPr>
          <w:rFonts w:ascii="Times New Roman" w:hAnsi="Times New Roman" w:cs="Times New Roman"/>
          <w:sz w:val="24"/>
          <w:szCs w:val="24"/>
        </w:rPr>
        <w:t>communication is key to settling any dispute regarding a purchase and sale agreement.</w:t>
      </w:r>
      <w:r w:rsidR="003657AF" w:rsidRPr="003E193D">
        <w:rPr>
          <w:rFonts w:ascii="Times New Roman" w:hAnsi="Times New Roman" w:cs="Times New Roman"/>
          <w:sz w:val="24"/>
          <w:szCs w:val="24"/>
        </w:rPr>
        <w:t xml:space="preserve">  If a purchaser knows that it will be unable to complete due diligence by the date specified in the contract, give seller as much advance notice as possible and attempt to negotiate a modified completion date.</w:t>
      </w:r>
      <w:r w:rsidR="000C62AE" w:rsidRPr="003E193D">
        <w:rPr>
          <w:rFonts w:ascii="Times New Roman" w:hAnsi="Times New Roman" w:cs="Times New Roman"/>
          <w:sz w:val="24"/>
          <w:szCs w:val="24"/>
        </w:rPr>
        <w:t xml:space="preserve">  While the seller (or even the contract) may require a payment of additional </w:t>
      </w:r>
      <w:r w:rsidR="000C62AE" w:rsidRPr="003E193D">
        <w:rPr>
          <w:rFonts w:ascii="Times New Roman" w:hAnsi="Times New Roman" w:cs="Times New Roman"/>
          <w:sz w:val="24"/>
          <w:szCs w:val="24"/>
        </w:rPr>
        <w:lastRenderedPageBreak/>
        <w:t>earnest money to extend, it beats the alternative of breaching the contract and causing the deal to fall apart.</w:t>
      </w:r>
    </w:p>
    <w:p w:rsidR="00107B51" w:rsidRPr="003E193D" w:rsidRDefault="00107B51" w:rsidP="00107B51">
      <w:pPr>
        <w:spacing w:after="0" w:line="480" w:lineRule="auto"/>
        <w:ind w:firstLine="720"/>
        <w:rPr>
          <w:rFonts w:ascii="Times New Roman" w:hAnsi="Times New Roman" w:cs="Times New Roman"/>
          <w:b/>
          <w:sz w:val="24"/>
          <w:szCs w:val="24"/>
        </w:rPr>
      </w:pPr>
      <w:r w:rsidRPr="003E193D">
        <w:rPr>
          <w:rFonts w:ascii="Times New Roman" w:hAnsi="Times New Roman" w:cs="Times New Roman"/>
          <w:b/>
          <w:sz w:val="24"/>
          <w:szCs w:val="24"/>
        </w:rPr>
        <w:t>B.</w:t>
      </w:r>
      <w:r w:rsidRPr="003E193D">
        <w:rPr>
          <w:rFonts w:ascii="Times New Roman" w:hAnsi="Times New Roman" w:cs="Times New Roman"/>
          <w:b/>
          <w:sz w:val="24"/>
          <w:szCs w:val="24"/>
        </w:rPr>
        <w:tab/>
        <w:t>Enforce the Contract Terms.</w:t>
      </w:r>
    </w:p>
    <w:p w:rsidR="00CA2AFC" w:rsidRPr="003E193D" w:rsidRDefault="00CA2AFC" w:rsidP="009D1F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Don’t be afraid to play ball and enforce the contract terms and provisions.</w:t>
      </w:r>
      <w:r w:rsidR="00996617" w:rsidRPr="003E193D">
        <w:rPr>
          <w:rFonts w:ascii="Times New Roman" w:hAnsi="Times New Roman" w:cs="Times New Roman"/>
          <w:sz w:val="24"/>
          <w:szCs w:val="24"/>
        </w:rPr>
        <w:t xml:space="preserve">  If seller doesn’t provide you with the title policy information by the deadline set forth in the contract, demand it.  Oftentimes parties to commercial transactions will use as much leeway as the other party is willing to give.</w:t>
      </w:r>
    </w:p>
    <w:p w:rsidR="009D1FC0" w:rsidRPr="003E193D" w:rsidRDefault="009D1FC0" w:rsidP="009D1F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b/>
          <w:sz w:val="24"/>
          <w:szCs w:val="24"/>
        </w:rPr>
        <w:t>C.</w:t>
      </w:r>
      <w:r w:rsidRPr="003E193D">
        <w:rPr>
          <w:rFonts w:ascii="Times New Roman" w:hAnsi="Times New Roman" w:cs="Times New Roman"/>
          <w:b/>
          <w:sz w:val="24"/>
          <w:szCs w:val="24"/>
        </w:rPr>
        <w:tab/>
        <w:t>Early Mediation</w:t>
      </w:r>
      <w:r w:rsidRPr="003E193D">
        <w:rPr>
          <w:rFonts w:ascii="Times New Roman" w:hAnsi="Times New Roman" w:cs="Times New Roman"/>
          <w:sz w:val="24"/>
          <w:szCs w:val="24"/>
        </w:rPr>
        <w:t>.</w:t>
      </w:r>
    </w:p>
    <w:p w:rsidR="00E136F5" w:rsidRPr="003E193D" w:rsidRDefault="00E136F5" w:rsidP="009D1F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Mediation can be an excellent way to resolve a dispute, </w:t>
      </w:r>
      <w:r w:rsidR="00101999" w:rsidRPr="003E193D">
        <w:rPr>
          <w:rFonts w:ascii="Times New Roman" w:hAnsi="Times New Roman" w:cs="Times New Roman"/>
          <w:sz w:val="24"/>
          <w:szCs w:val="24"/>
        </w:rPr>
        <w:t xml:space="preserve">even prior to initiating litigation, </w:t>
      </w:r>
      <w:r w:rsidRPr="003E193D">
        <w:rPr>
          <w:rFonts w:ascii="Times New Roman" w:hAnsi="Times New Roman" w:cs="Times New Roman"/>
          <w:sz w:val="24"/>
          <w:szCs w:val="24"/>
        </w:rPr>
        <w:t xml:space="preserve">but only if both parties are willing and interested in mediation.  </w:t>
      </w:r>
      <w:r w:rsidR="00101999" w:rsidRPr="003E193D">
        <w:rPr>
          <w:rFonts w:ascii="Times New Roman" w:hAnsi="Times New Roman" w:cs="Times New Roman"/>
          <w:sz w:val="24"/>
          <w:szCs w:val="24"/>
        </w:rPr>
        <w:t>If you have a matter with a significant emotional aspect (</w:t>
      </w:r>
      <w:r w:rsidR="00101999" w:rsidRPr="003E193D">
        <w:rPr>
          <w:rFonts w:ascii="Times New Roman" w:hAnsi="Times New Roman" w:cs="Times New Roman"/>
          <w:i/>
          <w:sz w:val="24"/>
          <w:szCs w:val="24"/>
        </w:rPr>
        <w:t>i.e</w:t>
      </w:r>
      <w:r w:rsidR="00101999" w:rsidRPr="003E193D">
        <w:rPr>
          <w:rFonts w:ascii="Times New Roman" w:hAnsi="Times New Roman" w:cs="Times New Roman"/>
          <w:sz w:val="24"/>
          <w:szCs w:val="24"/>
        </w:rPr>
        <w:t xml:space="preserve">., the President of the company is </w:t>
      </w:r>
      <w:r w:rsidR="00B57A76" w:rsidRPr="003E193D">
        <w:rPr>
          <w:rFonts w:ascii="Times New Roman" w:hAnsi="Times New Roman" w:cs="Times New Roman"/>
          <w:sz w:val="24"/>
          <w:szCs w:val="24"/>
        </w:rPr>
        <w:t xml:space="preserve">just ticked off and perhaps can’t see the bigger picture), </w:t>
      </w:r>
      <w:r w:rsidR="005B37FC" w:rsidRPr="003E193D">
        <w:rPr>
          <w:rFonts w:ascii="Times New Roman" w:hAnsi="Times New Roman" w:cs="Times New Roman"/>
          <w:sz w:val="24"/>
          <w:szCs w:val="24"/>
        </w:rPr>
        <w:t xml:space="preserve">mediation in a controlled manner is an excellent forum for the parties to “get it off their chests.”  </w:t>
      </w:r>
      <w:r w:rsidR="00327932" w:rsidRPr="003E193D">
        <w:rPr>
          <w:rFonts w:ascii="Times New Roman" w:hAnsi="Times New Roman" w:cs="Times New Roman"/>
          <w:sz w:val="24"/>
          <w:szCs w:val="24"/>
        </w:rPr>
        <w:t xml:space="preserve">However, if you do not already have a good idea about the strengths and weaknesses of yours and your opposition’s position, mediation may be nothing more than a waste of time.  </w:t>
      </w:r>
    </w:p>
    <w:p w:rsidR="00DD68BF" w:rsidRPr="003E193D" w:rsidRDefault="00DD68BF" w:rsidP="00DD68BF">
      <w:pPr>
        <w:spacing w:after="0" w:line="480" w:lineRule="auto"/>
        <w:ind w:firstLine="720"/>
        <w:jc w:val="both"/>
        <w:rPr>
          <w:rFonts w:ascii="Times New Roman" w:hAnsi="Times New Roman" w:cs="Times New Roman"/>
          <w:b/>
          <w:sz w:val="24"/>
          <w:szCs w:val="24"/>
        </w:rPr>
      </w:pPr>
      <w:r w:rsidRPr="003E193D">
        <w:rPr>
          <w:rFonts w:ascii="Times New Roman" w:hAnsi="Times New Roman" w:cs="Times New Roman"/>
          <w:b/>
          <w:sz w:val="24"/>
          <w:szCs w:val="24"/>
        </w:rPr>
        <w:t>D.</w:t>
      </w:r>
      <w:r w:rsidRPr="003E193D">
        <w:rPr>
          <w:rFonts w:ascii="Times New Roman" w:hAnsi="Times New Roman" w:cs="Times New Roman"/>
          <w:b/>
          <w:sz w:val="24"/>
          <w:szCs w:val="24"/>
        </w:rPr>
        <w:tab/>
        <w:t>Performance of Additional Inspections or Surveys.</w:t>
      </w:r>
    </w:p>
    <w:p w:rsidR="00DD68BF" w:rsidRPr="003E193D" w:rsidRDefault="00DD68BF" w:rsidP="00DD68BF">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If the dispute involves issues beyond the contract such as boundary lines or status/condition of property, additional inspections or surveys performed by independent third-parties can help to bridge the gap.</w:t>
      </w:r>
    </w:p>
    <w:p w:rsidR="009D1FC0" w:rsidRPr="003E193D" w:rsidRDefault="00DD68BF" w:rsidP="009D1FC0">
      <w:pPr>
        <w:spacing w:after="0" w:line="480" w:lineRule="auto"/>
        <w:ind w:firstLine="720"/>
        <w:jc w:val="both"/>
        <w:rPr>
          <w:rFonts w:ascii="Times New Roman" w:hAnsi="Times New Roman" w:cs="Times New Roman"/>
          <w:b/>
          <w:sz w:val="24"/>
          <w:szCs w:val="24"/>
        </w:rPr>
      </w:pPr>
      <w:r w:rsidRPr="003E193D">
        <w:rPr>
          <w:rFonts w:ascii="Times New Roman" w:hAnsi="Times New Roman" w:cs="Times New Roman"/>
          <w:b/>
          <w:sz w:val="24"/>
          <w:szCs w:val="24"/>
        </w:rPr>
        <w:t>E.</w:t>
      </w:r>
      <w:r w:rsidRPr="003E193D">
        <w:rPr>
          <w:rFonts w:ascii="Times New Roman" w:hAnsi="Times New Roman" w:cs="Times New Roman"/>
          <w:b/>
          <w:sz w:val="24"/>
          <w:szCs w:val="24"/>
        </w:rPr>
        <w:tab/>
      </w:r>
      <w:r w:rsidR="009D1FC0" w:rsidRPr="003E193D">
        <w:rPr>
          <w:rFonts w:ascii="Times New Roman" w:hAnsi="Times New Roman" w:cs="Times New Roman"/>
          <w:b/>
          <w:sz w:val="24"/>
          <w:szCs w:val="24"/>
        </w:rPr>
        <w:t>Money Talks.</w:t>
      </w:r>
    </w:p>
    <w:p w:rsidR="002F1422" w:rsidRPr="003E193D" w:rsidRDefault="00150E48" w:rsidP="009D1FC0">
      <w:pPr>
        <w:spacing w:after="0"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If all else fails, there are no</w:t>
      </w:r>
      <w:r w:rsidR="002F1422" w:rsidRPr="003E193D">
        <w:rPr>
          <w:rFonts w:ascii="Times New Roman" w:hAnsi="Times New Roman" w:cs="Times New Roman"/>
          <w:sz w:val="24"/>
          <w:szCs w:val="24"/>
        </w:rPr>
        <w:t xml:space="preserve">t many real estate disputes that can’t be resolved by either paying more money or by reducing the purchase price via an amendment to the contract.  </w:t>
      </w:r>
    </w:p>
    <w:p w:rsidR="00635EB1" w:rsidRPr="003E193D" w:rsidRDefault="00635EB1" w:rsidP="00635EB1">
      <w:pPr>
        <w:pStyle w:val="Heading1"/>
        <w:numPr>
          <w:ilvl w:val="0"/>
          <w:numId w:val="1"/>
        </w:numPr>
        <w:rPr>
          <w:rFonts w:ascii="Times New Roman" w:hAnsi="Times New Roman"/>
          <w:szCs w:val="24"/>
          <w:u w:val="none"/>
        </w:rPr>
      </w:pPr>
      <w:bookmarkStart w:id="22" w:name="_Toc432082866"/>
      <w:bookmarkStart w:id="23" w:name="_Toc432082915"/>
      <w:bookmarkStart w:id="24" w:name="_Toc432082943"/>
      <w:r w:rsidRPr="003E193D">
        <w:rPr>
          <w:rFonts w:ascii="Times New Roman" w:hAnsi="Times New Roman"/>
          <w:szCs w:val="24"/>
          <w:u w:val="none"/>
        </w:rPr>
        <w:lastRenderedPageBreak/>
        <w:t>Common Sense Drafting Reminders</w:t>
      </w:r>
      <w:bookmarkEnd w:id="22"/>
      <w:bookmarkEnd w:id="23"/>
      <w:bookmarkEnd w:id="24"/>
      <w:r w:rsidRPr="003E193D">
        <w:rPr>
          <w:rFonts w:ascii="Times New Roman" w:hAnsi="Times New Roman"/>
          <w:szCs w:val="24"/>
          <w:u w:val="none"/>
        </w:rPr>
        <w:t xml:space="preserve"> to Help Avoid Litigation</w:t>
      </w:r>
    </w:p>
    <w:p w:rsidR="00635EB1" w:rsidRPr="003E193D" w:rsidRDefault="00635EB1" w:rsidP="00635EB1">
      <w:pPr>
        <w:pStyle w:val="Heading2"/>
        <w:numPr>
          <w:ilvl w:val="0"/>
          <w:numId w:val="5"/>
        </w:numPr>
        <w:rPr>
          <w:rFonts w:ascii="Times New Roman" w:hAnsi="Times New Roman"/>
          <w:szCs w:val="24"/>
        </w:rPr>
      </w:pPr>
      <w:bookmarkStart w:id="25" w:name="_Toc432082867"/>
      <w:bookmarkStart w:id="26" w:name="_Toc432082916"/>
      <w:bookmarkStart w:id="27" w:name="_Toc432082944"/>
      <w:r w:rsidRPr="003E193D">
        <w:rPr>
          <w:rFonts w:ascii="Times New Roman" w:hAnsi="Times New Roman"/>
          <w:szCs w:val="24"/>
        </w:rPr>
        <w:t>Be Careful When Using Form Documents and Boilerplate Provisions.</w:t>
      </w:r>
      <w:bookmarkEnd w:id="25"/>
      <w:bookmarkEnd w:id="26"/>
      <w:bookmarkEnd w:id="27"/>
    </w:p>
    <w:p w:rsidR="00635EB1" w:rsidRPr="003E193D" w:rsidRDefault="00635EB1" w:rsidP="00635EB1">
      <w:pPr>
        <w:spacing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All attorneys who handle commercial real estate transactions have their “go by” or “standard” documents such as a form commercial </w:t>
      </w:r>
      <w:r w:rsidR="00F0170B" w:rsidRPr="003E193D">
        <w:rPr>
          <w:rFonts w:ascii="Times New Roman" w:hAnsi="Times New Roman" w:cs="Times New Roman"/>
          <w:sz w:val="24"/>
          <w:szCs w:val="24"/>
        </w:rPr>
        <w:t>purchase and sale</w:t>
      </w:r>
      <w:r w:rsidRPr="003E193D">
        <w:rPr>
          <w:rFonts w:ascii="Times New Roman" w:hAnsi="Times New Roman" w:cs="Times New Roman"/>
          <w:sz w:val="24"/>
          <w:szCs w:val="24"/>
        </w:rPr>
        <w:t xml:space="preserve"> agreement.  However, sometimes, the attorney’s use of the form document results in transaction-specific, key terms being accidentally omitted by the drafting attorney.  For example, if the transaction contemplates the sale of a business along with the commercial real estate, the “form” </w:t>
      </w:r>
      <w:r w:rsidR="00F0170B" w:rsidRPr="003E193D">
        <w:rPr>
          <w:rFonts w:ascii="Times New Roman" w:hAnsi="Times New Roman" w:cs="Times New Roman"/>
          <w:sz w:val="24"/>
          <w:szCs w:val="24"/>
        </w:rPr>
        <w:t xml:space="preserve">purchase and sale agreement </w:t>
      </w:r>
      <w:r w:rsidRPr="003E193D">
        <w:rPr>
          <w:rFonts w:ascii="Times New Roman" w:hAnsi="Times New Roman" w:cs="Times New Roman"/>
          <w:sz w:val="24"/>
          <w:szCs w:val="24"/>
        </w:rPr>
        <w:t xml:space="preserve">likely would not include issues critical to the sale of the business such as a non-compete provision for the seller and principal owner.  Be sure to review even your “boilerplate” or “miscellaneous” provisions for each transaction as these are not one-size-fits-all propositions.  For example, you would not want to include a “time is of essence” clause for a transaction where timely performance is not required or cannot be assured.  Analyze each specific transaction to determine which, if any, non-standard provisions must be added to your form documents for that particular transaction. </w:t>
      </w:r>
    </w:p>
    <w:p w:rsidR="00635EB1" w:rsidRPr="003E193D" w:rsidRDefault="00635EB1" w:rsidP="00635EB1">
      <w:pPr>
        <w:pStyle w:val="Heading2"/>
        <w:numPr>
          <w:ilvl w:val="0"/>
          <w:numId w:val="5"/>
        </w:numPr>
        <w:rPr>
          <w:rFonts w:ascii="Times New Roman" w:hAnsi="Times New Roman"/>
          <w:szCs w:val="24"/>
        </w:rPr>
      </w:pPr>
      <w:bookmarkStart w:id="28" w:name="_Toc432082868"/>
      <w:bookmarkStart w:id="29" w:name="_Toc432082917"/>
      <w:bookmarkStart w:id="30" w:name="_Toc432082945"/>
      <w:r w:rsidRPr="003E193D">
        <w:rPr>
          <w:rFonts w:ascii="Times New Roman" w:hAnsi="Times New Roman"/>
          <w:szCs w:val="24"/>
        </w:rPr>
        <w:t>Review All Title Documentation Thoroughly – and then Review Again – and then Have Someone Else Review.</w:t>
      </w:r>
      <w:bookmarkEnd w:id="28"/>
      <w:bookmarkEnd w:id="29"/>
      <w:bookmarkEnd w:id="30"/>
    </w:p>
    <w:p w:rsidR="00635EB1" w:rsidRPr="003E193D" w:rsidRDefault="00635EB1" w:rsidP="009F1ED0">
      <w:pPr>
        <w:spacing w:line="480" w:lineRule="auto"/>
        <w:ind w:firstLine="720"/>
        <w:jc w:val="both"/>
        <w:rPr>
          <w:rFonts w:ascii="Times New Roman" w:hAnsi="Times New Roman" w:cs="Times New Roman"/>
          <w:sz w:val="24"/>
          <w:szCs w:val="24"/>
        </w:rPr>
      </w:pPr>
      <w:r w:rsidRPr="003E193D">
        <w:rPr>
          <w:rFonts w:ascii="Times New Roman" w:hAnsi="Times New Roman" w:cs="Times New Roman"/>
          <w:sz w:val="24"/>
          <w:szCs w:val="24"/>
        </w:rPr>
        <w:t xml:space="preserve">Title to commercial property is generally more complex than title to a residential property.  Most commercial property is subject to easements, restrictions, regulations, etc.  You cannot properly draft the requisite commercial provisions without understanding and digesting the implications of title issues with the underlying real estate.   </w:t>
      </w:r>
    </w:p>
    <w:p w:rsidR="008A5259" w:rsidRPr="003E193D" w:rsidRDefault="008A5259" w:rsidP="009F1ED0">
      <w:pPr>
        <w:pStyle w:val="ListParagraph"/>
        <w:numPr>
          <w:ilvl w:val="0"/>
          <w:numId w:val="1"/>
        </w:numPr>
        <w:rPr>
          <w:rFonts w:ascii="Times New Roman" w:hAnsi="Times New Roman" w:cs="Times New Roman"/>
          <w:b/>
          <w:sz w:val="24"/>
          <w:szCs w:val="24"/>
        </w:rPr>
      </w:pPr>
      <w:r w:rsidRPr="003E193D">
        <w:rPr>
          <w:rFonts w:ascii="Times New Roman" w:hAnsi="Times New Roman" w:cs="Times New Roman"/>
          <w:b/>
          <w:sz w:val="24"/>
          <w:szCs w:val="24"/>
        </w:rPr>
        <w:t>Conclusion</w:t>
      </w:r>
    </w:p>
    <w:p w:rsidR="008A5259" w:rsidRPr="003E193D" w:rsidRDefault="008A5259" w:rsidP="004F4B30">
      <w:pPr>
        <w:spacing w:after="0" w:line="480" w:lineRule="auto"/>
        <w:ind w:firstLine="360"/>
        <w:jc w:val="both"/>
        <w:rPr>
          <w:rFonts w:ascii="Times New Roman" w:hAnsi="Times New Roman" w:cs="Times New Roman"/>
          <w:sz w:val="24"/>
          <w:szCs w:val="24"/>
        </w:rPr>
      </w:pPr>
      <w:r w:rsidRPr="003E193D">
        <w:rPr>
          <w:rFonts w:ascii="Times New Roman" w:hAnsi="Times New Roman" w:cs="Times New Roman"/>
          <w:sz w:val="24"/>
          <w:szCs w:val="24"/>
        </w:rPr>
        <w:t xml:space="preserve">While the aforementioned insight better prepares parties and their real estate lawyers to avoid litigation, or at least evaluate the issues associated with various contract terms, thankfully for the authors, litigation is inevitable and </w:t>
      </w:r>
      <w:r w:rsidR="00BA3B5D" w:rsidRPr="003E193D">
        <w:rPr>
          <w:rFonts w:ascii="Times New Roman" w:hAnsi="Times New Roman" w:cs="Times New Roman"/>
          <w:sz w:val="24"/>
          <w:szCs w:val="24"/>
        </w:rPr>
        <w:t>abundant</w:t>
      </w:r>
      <w:r w:rsidRPr="003E193D">
        <w:rPr>
          <w:rFonts w:ascii="Times New Roman" w:hAnsi="Times New Roman" w:cs="Times New Roman"/>
          <w:sz w:val="24"/>
          <w:szCs w:val="24"/>
        </w:rPr>
        <w:t xml:space="preserve">.  </w:t>
      </w:r>
    </w:p>
    <w:sectPr w:rsidR="008A5259" w:rsidRPr="003E19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9F" w:rsidRDefault="00B25D9F" w:rsidP="006405DB">
      <w:pPr>
        <w:spacing w:after="0" w:line="240" w:lineRule="auto"/>
      </w:pPr>
      <w:r>
        <w:separator/>
      </w:r>
    </w:p>
  </w:endnote>
  <w:endnote w:type="continuationSeparator" w:id="0">
    <w:p w:rsidR="00B25D9F" w:rsidRDefault="00B25D9F" w:rsidP="006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Bold">
    <w:panose1 w:val="02040802050405020203"/>
    <w:charset w:val="00"/>
    <w:family w:val="roman"/>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C" w:rsidRDefault="00762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8C" w:rsidRPr="00F2047C" w:rsidRDefault="00446F00" w:rsidP="00F2047C">
    <w:pPr>
      <w:pStyle w:val="Footer"/>
    </w:pPr>
    <w:r w:rsidRPr="00446F00">
      <w:rPr>
        <w:noProof/>
        <w:sz w:val="16"/>
      </w:rPr>
      <w:t>{00326136.DOCX / }</w:t>
    </w:r>
    <w:r w:rsidR="007B3C8C">
      <w:tab/>
    </w:r>
    <w:sdt>
      <w:sdtPr>
        <w:id w:val="-2062553936"/>
        <w:docPartObj>
          <w:docPartGallery w:val="Page Numbers (Bottom of Page)"/>
          <w:docPartUnique/>
        </w:docPartObj>
      </w:sdtPr>
      <w:sdtEndPr/>
      <w:sdtContent>
        <w:sdt>
          <w:sdtPr>
            <w:id w:val="-1669238322"/>
            <w:docPartObj>
              <w:docPartGallery w:val="Page Numbers (Top of Page)"/>
              <w:docPartUnique/>
            </w:docPartObj>
          </w:sdtPr>
          <w:sdtEndPr/>
          <w:sdtContent>
            <w:r w:rsidR="007B3C8C" w:rsidRPr="00F2047C">
              <w:t xml:space="preserve">Page </w:t>
            </w:r>
            <w:r w:rsidR="007B3C8C" w:rsidRPr="00F2047C">
              <w:rPr>
                <w:b/>
                <w:bCs/>
                <w:sz w:val="24"/>
                <w:szCs w:val="24"/>
              </w:rPr>
              <w:fldChar w:fldCharType="begin"/>
            </w:r>
            <w:r w:rsidR="007B3C8C" w:rsidRPr="00F2047C">
              <w:rPr>
                <w:b/>
                <w:bCs/>
              </w:rPr>
              <w:instrText xml:space="preserve"> PAGE </w:instrText>
            </w:r>
            <w:r w:rsidR="007B3C8C" w:rsidRPr="00F2047C">
              <w:rPr>
                <w:b/>
                <w:bCs/>
                <w:sz w:val="24"/>
                <w:szCs w:val="24"/>
              </w:rPr>
              <w:fldChar w:fldCharType="separate"/>
            </w:r>
            <w:r>
              <w:rPr>
                <w:b/>
                <w:bCs/>
                <w:noProof/>
              </w:rPr>
              <w:t>27</w:t>
            </w:r>
            <w:r w:rsidR="007B3C8C" w:rsidRPr="00F2047C">
              <w:rPr>
                <w:b/>
                <w:bCs/>
                <w:sz w:val="24"/>
                <w:szCs w:val="24"/>
              </w:rPr>
              <w:fldChar w:fldCharType="end"/>
            </w:r>
            <w:r w:rsidR="007B3C8C" w:rsidRPr="00F2047C">
              <w:t xml:space="preserve"> of </w:t>
            </w:r>
            <w:r w:rsidR="007B3C8C" w:rsidRPr="00F2047C">
              <w:rPr>
                <w:b/>
                <w:bCs/>
                <w:sz w:val="24"/>
                <w:szCs w:val="24"/>
              </w:rPr>
              <w:fldChar w:fldCharType="begin"/>
            </w:r>
            <w:r w:rsidR="007B3C8C" w:rsidRPr="00F2047C">
              <w:rPr>
                <w:b/>
                <w:bCs/>
              </w:rPr>
              <w:instrText xml:space="preserve"> NUMPAGES  </w:instrText>
            </w:r>
            <w:r w:rsidR="007B3C8C" w:rsidRPr="00F2047C">
              <w:rPr>
                <w:b/>
                <w:bCs/>
                <w:sz w:val="24"/>
                <w:szCs w:val="24"/>
              </w:rPr>
              <w:fldChar w:fldCharType="separate"/>
            </w:r>
            <w:r>
              <w:rPr>
                <w:b/>
                <w:bCs/>
                <w:noProof/>
              </w:rPr>
              <w:t>27</w:t>
            </w:r>
            <w:r w:rsidR="007B3C8C" w:rsidRPr="00F2047C">
              <w:rPr>
                <w:b/>
                <w:bCs/>
                <w:sz w:val="24"/>
                <w:szCs w:val="24"/>
              </w:rPr>
              <w:fldChar w:fldCharType="end"/>
            </w:r>
          </w:sdtContent>
        </w:sdt>
      </w:sdtContent>
    </w:sdt>
  </w:p>
  <w:p w:rsidR="007B3C8C" w:rsidRPr="00F2047C" w:rsidRDefault="007B3C8C" w:rsidP="00AE2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C" w:rsidRDefault="0076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9F" w:rsidRDefault="00B25D9F" w:rsidP="006405DB">
      <w:pPr>
        <w:spacing w:after="0" w:line="240" w:lineRule="auto"/>
        <w:rPr>
          <w:noProof/>
        </w:rPr>
      </w:pPr>
      <w:r>
        <w:rPr>
          <w:noProof/>
        </w:rPr>
        <w:separator/>
      </w:r>
    </w:p>
  </w:footnote>
  <w:footnote w:type="continuationSeparator" w:id="0">
    <w:p w:rsidR="00B25D9F" w:rsidRDefault="00B25D9F" w:rsidP="006405DB">
      <w:pPr>
        <w:spacing w:after="0" w:line="240" w:lineRule="auto"/>
      </w:pPr>
      <w:r>
        <w:continuationSeparator/>
      </w:r>
    </w:p>
  </w:footnote>
  <w:footnote w:id="1">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The statute of frauds requires that contracts for the sale of land must be in writing.  O.C.G.A. § 13-5-30(4).</w:t>
      </w:r>
    </w:p>
  </w:footnote>
  <w:footnote w:id="2">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Daniel F. Hinkel, Pindar’s Georgia Real Estate Law and Procedure § 18-3 (6</w:t>
      </w:r>
      <w:r w:rsidRPr="006E4006">
        <w:rPr>
          <w:sz w:val="24"/>
          <w:szCs w:val="24"/>
          <w:vertAlign w:val="superscript"/>
        </w:rPr>
        <w:t>th</w:t>
      </w:r>
      <w:r w:rsidRPr="006E4006">
        <w:rPr>
          <w:sz w:val="24"/>
          <w:szCs w:val="24"/>
        </w:rPr>
        <w:t xml:space="preserve"> ed. 2004).</w:t>
      </w:r>
    </w:p>
  </w:footnote>
  <w:footnote w:id="3">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 18-6.2-6.4.</w:t>
      </w:r>
    </w:p>
  </w:footnote>
  <w:footnote w:id="4">
    <w:p w:rsidR="00F73045" w:rsidRPr="006E4006" w:rsidRDefault="00F73045" w:rsidP="00F73045">
      <w:pPr>
        <w:pStyle w:val="FootnoteText"/>
        <w:rPr>
          <w:sz w:val="24"/>
          <w:szCs w:val="24"/>
        </w:rPr>
      </w:pPr>
      <w:r w:rsidRPr="006E4006">
        <w:rPr>
          <w:rStyle w:val="FootnoteReference"/>
          <w:sz w:val="24"/>
          <w:szCs w:val="24"/>
        </w:rPr>
        <w:footnoteRef/>
      </w:r>
      <w:r w:rsidRPr="006E4006">
        <w:rPr>
          <w:sz w:val="24"/>
          <w:szCs w:val="24"/>
        </w:rPr>
        <w:t xml:space="preserve"> Daniel F. Hinkel, Pindar’s Georgia Real Estate Law &amp; Procedure § 18-3 (7</w:t>
      </w:r>
      <w:r w:rsidRPr="006E4006">
        <w:rPr>
          <w:sz w:val="24"/>
          <w:szCs w:val="24"/>
          <w:vertAlign w:val="superscript"/>
        </w:rPr>
        <w:t>th</w:t>
      </w:r>
      <w:r w:rsidRPr="006E4006">
        <w:rPr>
          <w:sz w:val="24"/>
          <w:szCs w:val="24"/>
        </w:rPr>
        <w:t xml:space="preserve"> ed.)</w:t>
      </w:r>
      <w:r w:rsidR="0011190E" w:rsidRPr="006E4006">
        <w:rPr>
          <w:sz w:val="24"/>
          <w:szCs w:val="24"/>
        </w:rPr>
        <w:t>.</w:t>
      </w:r>
    </w:p>
  </w:footnote>
  <w:footnote w:id="5">
    <w:p w:rsidR="001575B8" w:rsidRPr="006E4006" w:rsidRDefault="001575B8">
      <w:pPr>
        <w:pStyle w:val="FootnoteText"/>
        <w:rPr>
          <w:sz w:val="24"/>
          <w:szCs w:val="24"/>
        </w:rPr>
      </w:pPr>
      <w:r w:rsidRPr="006E4006">
        <w:rPr>
          <w:rStyle w:val="FootnoteReference"/>
          <w:sz w:val="24"/>
          <w:szCs w:val="24"/>
        </w:rPr>
        <w:footnoteRef/>
      </w:r>
      <w:r w:rsidRPr="006E4006">
        <w:rPr>
          <w:sz w:val="24"/>
          <w:szCs w:val="24"/>
        </w:rPr>
        <w:t xml:space="preserve"> 332 Ga. App. 777 (2015).</w:t>
      </w:r>
    </w:p>
  </w:footnote>
  <w:footnote w:id="6">
    <w:p w:rsidR="00941255" w:rsidRPr="006E4006" w:rsidRDefault="00941255">
      <w:pPr>
        <w:pStyle w:val="FootnoteText"/>
        <w:rPr>
          <w:sz w:val="24"/>
          <w:szCs w:val="24"/>
        </w:rPr>
      </w:pPr>
      <w:r w:rsidRPr="006E4006">
        <w:rPr>
          <w:rStyle w:val="FootnoteReference"/>
          <w:sz w:val="24"/>
          <w:szCs w:val="24"/>
        </w:rPr>
        <w:footnoteRef/>
      </w:r>
      <w:r w:rsidRPr="006E4006">
        <w:rPr>
          <w:sz w:val="24"/>
          <w:szCs w:val="24"/>
        </w:rPr>
        <w:t xml:space="preserve"> </w:t>
      </w:r>
      <w:r w:rsidR="00F805EA" w:rsidRPr="006E4006">
        <w:rPr>
          <w:sz w:val="24"/>
          <w:szCs w:val="24"/>
        </w:rPr>
        <w:t>331 Ga. App. 292 (2015).</w:t>
      </w:r>
    </w:p>
  </w:footnote>
  <w:footnote w:id="7">
    <w:p w:rsidR="00632AC2" w:rsidRPr="006E4006" w:rsidRDefault="00632AC2">
      <w:pPr>
        <w:pStyle w:val="FootnoteText"/>
        <w:rPr>
          <w:sz w:val="24"/>
          <w:szCs w:val="24"/>
        </w:rPr>
      </w:pPr>
      <w:r w:rsidRPr="006E4006">
        <w:rPr>
          <w:rStyle w:val="FootnoteReference"/>
          <w:sz w:val="24"/>
          <w:szCs w:val="24"/>
        </w:rPr>
        <w:footnoteRef/>
      </w:r>
      <w:r w:rsidRPr="006E4006">
        <w:rPr>
          <w:sz w:val="24"/>
          <w:szCs w:val="24"/>
        </w:rPr>
        <w:t xml:space="preserve"> 33 Ga. App. 729 (2015).</w:t>
      </w:r>
    </w:p>
  </w:footnote>
  <w:footnote w:id="8">
    <w:p w:rsidR="002F51F4" w:rsidRPr="006E4006" w:rsidRDefault="002F51F4">
      <w:pPr>
        <w:pStyle w:val="FootnoteText"/>
        <w:rPr>
          <w:sz w:val="24"/>
          <w:szCs w:val="24"/>
        </w:rPr>
      </w:pPr>
      <w:r w:rsidRPr="006E4006">
        <w:rPr>
          <w:rStyle w:val="FootnoteReference"/>
          <w:sz w:val="24"/>
          <w:szCs w:val="24"/>
        </w:rPr>
        <w:footnoteRef/>
      </w:r>
      <w:r w:rsidRPr="006E4006">
        <w:rPr>
          <w:sz w:val="24"/>
          <w:szCs w:val="24"/>
        </w:rPr>
        <w:t xml:space="preserve"> 333 Ga. App. 289 (2015).</w:t>
      </w:r>
    </w:p>
  </w:footnote>
  <w:footnote w:id="9">
    <w:p w:rsidR="00232CF4" w:rsidRPr="006E4006" w:rsidRDefault="00232CF4">
      <w:pPr>
        <w:pStyle w:val="FootnoteText"/>
        <w:rPr>
          <w:sz w:val="24"/>
          <w:szCs w:val="24"/>
        </w:rPr>
      </w:pPr>
      <w:r w:rsidRPr="006E4006">
        <w:rPr>
          <w:rStyle w:val="FootnoteReference"/>
          <w:sz w:val="24"/>
          <w:szCs w:val="24"/>
        </w:rPr>
        <w:footnoteRef/>
      </w:r>
      <w:r w:rsidRPr="006E4006">
        <w:rPr>
          <w:sz w:val="24"/>
          <w:szCs w:val="24"/>
        </w:rPr>
        <w:t xml:space="preserve"> 2016 WL</w:t>
      </w:r>
      <w:r w:rsidR="00844CFD" w:rsidRPr="006E4006">
        <w:rPr>
          <w:sz w:val="24"/>
          <w:szCs w:val="24"/>
        </w:rPr>
        <w:t xml:space="preserve"> 1176621 (Ga. App. March 28, 2016).</w:t>
      </w:r>
    </w:p>
  </w:footnote>
  <w:footnote w:id="10">
    <w:p w:rsidR="007E61F6" w:rsidRPr="006E4006" w:rsidRDefault="007E61F6">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w:t>
      </w:r>
      <w:r w:rsidR="00BB5C85" w:rsidRPr="006E4006">
        <w:rPr>
          <w:sz w:val="24"/>
          <w:szCs w:val="24"/>
        </w:rPr>
        <w:t xml:space="preserve">at *4 </w:t>
      </w:r>
      <w:r w:rsidRPr="006E4006">
        <w:rPr>
          <w:sz w:val="24"/>
          <w:szCs w:val="24"/>
        </w:rPr>
        <w:t xml:space="preserve">(quoting </w:t>
      </w:r>
      <w:r w:rsidR="00BB5C85" w:rsidRPr="006E4006">
        <w:rPr>
          <w:sz w:val="24"/>
          <w:szCs w:val="24"/>
          <w:u w:val="single"/>
        </w:rPr>
        <w:t>Dodds v. Dabbs, Hickman, Hill and Cannon, LLP,</w:t>
      </w:r>
      <w:r w:rsidR="00BB5C85" w:rsidRPr="006E4006">
        <w:rPr>
          <w:sz w:val="24"/>
          <w:szCs w:val="24"/>
        </w:rPr>
        <w:t xml:space="preserve"> 324 Ga. App. 337</w:t>
      </w:r>
      <w:r w:rsidR="00874AB2" w:rsidRPr="006E4006">
        <w:rPr>
          <w:sz w:val="24"/>
          <w:szCs w:val="24"/>
        </w:rPr>
        <w:t>,</w:t>
      </w:r>
      <w:r w:rsidR="00BB5C85" w:rsidRPr="006E4006">
        <w:rPr>
          <w:sz w:val="24"/>
          <w:szCs w:val="24"/>
        </w:rPr>
        <w:t xml:space="preserve"> 340-41 (2013).</w:t>
      </w:r>
    </w:p>
  </w:footnote>
  <w:footnote w:id="11">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McElvaney v. Roumelco, LLC et al</w:t>
      </w:r>
      <w:r w:rsidRPr="006E4006">
        <w:rPr>
          <w:sz w:val="24"/>
          <w:szCs w:val="24"/>
        </w:rPr>
        <w:t xml:space="preserve">., 331 Ga. App. 729, 732-33 (2015) (quoting </w:t>
      </w:r>
      <w:r w:rsidRPr="006E4006">
        <w:rPr>
          <w:sz w:val="24"/>
          <w:szCs w:val="24"/>
          <w:u w:val="single"/>
        </w:rPr>
        <w:t>Kitchen v. Insuramerica Corp</w:t>
      </w:r>
      <w:r w:rsidRPr="006E4006">
        <w:rPr>
          <w:sz w:val="24"/>
          <w:szCs w:val="24"/>
        </w:rPr>
        <w:t>., 296 Ga. App. 739, 743 (2009)).</w:t>
      </w:r>
    </w:p>
  </w:footnote>
  <w:footnote w:id="12">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Farmer v. Argenta</w:t>
      </w:r>
      <w:r w:rsidRPr="006E4006">
        <w:rPr>
          <w:sz w:val="24"/>
          <w:szCs w:val="24"/>
        </w:rPr>
        <w:t>, 174 Ga. App. 682, 683 (1985).</w:t>
      </w:r>
    </w:p>
  </w:footnote>
  <w:footnote w:id="13">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Lemming v. Morgan</w:t>
      </w:r>
      <w:r w:rsidRPr="006E4006">
        <w:rPr>
          <w:sz w:val="24"/>
          <w:szCs w:val="24"/>
        </w:rPr>
        <w:t>, 228 Ga. App. 763 (1997</w:t>
      </w:r>
      <w:r w:rsidR="00762E5C" w:rsidRPr="006E4006">
        <w:rPr>
          <w:sz w:val="24"/>
          <w:szCs w:val="24"/>
        </w:rPr>
        <w:t>) (</w:t>
      </w:r>
      <w:r w:rsidRPr="006E4006">
        <w:rPr>
          <w:sz w:val="24"/>
          <w:szCs w:val="24"/>
        </w:rPr>
        <w:t>citations omitted).</w:t>
      </w:r>
    </w:p>
  </w:footnote>
  <w:footnote w:id="14">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250 Ga. App. 513, 513 (2001</w:t>
      </w:r>
      <w:r w:rsidR="00762E5C" w:rsidRPr="006E4006">
        <w:rPr>
          <w:sz w:val="24"/>
          <w:szCs w:val="24"/>
        </w:rPr>
        <w:t>) (</w:t>
      </w:r>
      <w:r w:rsidRPr="006E4006">
        <w:rPr>
          <w:sz w:val="24"/>
          <w:szCs w:val="24"/>
        </w:rPr>
        <w:t>emphasis added). </w:t>
      </w:r>
    </w:p>
  </w:footnote>
  <w:footnote w:id="15">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w:t>
      </w:r>
    </w:p>
  </w:footnote>
  <w:footnote w:id="16">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174 Ga. App. at 682 (emphasis added).</w:t>
      </w:r>
    </w:p>
  </w:footnote>
  <w:footnote w:id="17">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Id</w:t>
      </w:r>
      <w:r w:rsidRPr="006E4006">
        <w:rPr>
          <w:sz w:val="24"/>
          <w:szCs w:val="24"/>
        </w:rPr>
        <w:t>. at 684. </w:t>
      </w:r>
    </w:p>
  </w:footnote>
  <w:footnote w:id="18">
    <w:p w:rsidR="007B3C8C" w:rsidRPr="006E4006" w:rsidRDefault="007B3C8C" w:rsidP="00B250A4">
      <w:pPr>
        <w:pStyle w:val="FootnoteText"/>
        <w:rPr>
          <w:sz w:val="24"/>
          <w:szCs w:val="24"/>
          <w:u w:val="single"/>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19">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Peach Consolidated Prop. v. Carter</w:t>
      </w:r>
      <w:r w:rsidRPr="006E4006">
        <w:rPr>
          <w:sz w:val="24"/>
          <w:szCs w:val="24"/>
        </w:rPr>
        <w:t>, 278 Ga. App. 273 (2006).</w:t>
      </w:r>
    </w:p>
  </w:footnote>
  <w:footnote w:id="20">
    <w:p w:rsidR="007B3C8C" w:rsidRPr="006E4006" w:rsidRDefault="007B3C8C" w:rsidP="00B250A4">
      <w:pPr>
        <w:pStyle w:val="FootnoteText"/>
        <w:rPr>
          <w:sz w:val="24"/>
          <w:szCs w:val="24"/>
          <w:u w:val="single"/>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21">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See Brannen/Goddard Co., et al. v. PNC Realty Holding Corp. of Georgia</w:t>
      </w:r>
      <w:r w:rsidRPr="006E4006">
        <w:rPr>
          <w:sz w:val="24"/>
          <w:szCs w:val="24"/>
        </w:rPr>
        <w:t>, 238 Ga. App. 387, 389 (1999).</w:t>
      </w:r>
    </w:p>
  </w:footnote>
  <w:footnote w:id="22">
    <w:p w:rsidR="007B3C8C" w:rsidRPr="006E4006" w:rsidRDefault="007B3C8C" w:rsidP="00130D4F">
      <w:pPr>
        <w:pStyle w:val="FootnoteText"/>
        <w:tabs>
          <w:tab w:val="left" w:pos="7335"/>
        </w:tabs>
        <w:rPr>
          <w:sz w:val="24"/>
          <w:szCs w:val="24"/>
          <w:u w:val="single"/>
        </w:rPr>
      </w:pPr>
      <w:r w:rsidRPr="006E4006">
        <w:rPr>
          <w:rStyle w:val="FootnoteReference"/>
          <w:sz w:val="24"/>
          <w:szCs w:val="24"/>
        </w:rPr>
        <w:footnoteRef/>
      </w:r>
      <w:r w:rsidRPr="006E4006">
        <w:rPr>
          <w:sz w:val="24"/>
          <w:szCs w:val="24"/>
        </w:rPr>
        <w:t xml:space="preserve"> </w:t>
      </w:r>
      <w:r w:rsidRPr="006E4006">
        <w:rPr>
          <w:iCs/>
          <w:sz w:val="24"/>
          <w:szCs w:val="24"/>
          <w:u w:val="single"/>
        </w:rPr>
        <w:t>Sheridan v. Crown Capital Corp</w:t>
      </w:r>
      <w:r w:rsidRPr="006E4006">
        <w:rPr>
          <w:i/>
          <w:iCs/>
          <w:sz w:val="24"/>
          <w:szCs w:val="24"/>
        </w:rPr>
        <w:t>.</w:t>
      </w:r>
      <w:r w:rsidRPr="006E4006">
        <w:rPr>
          <w:sz w:val="24"/>
          <w:szCs w:val="24"/>
        </w:rPr>
        <w:t>, 251 Ga. App. 314, 315 (2001).</w:t>
      </w:r>
      <w:r w:rsidRPr="006E4006">
        <w:rPr>
          <w:sz w:val="24"/>
          <w:szCs w:val="24"/>
        </w:rPr>
        <w:tab/>
      </w:r>
    </w:p>
  </w:footnote>
  <w:footnote w:id="23">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Id.</w:t>
      </w:r>
    </w:p>
  </w:footnote>
  <w:footnote w:id="24">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O.C.G.A. § 13-2-2.  </w:t>
      </w:r>
    </w:p>
  </w:footnote>
  <w:footnote w:id="25">
    <w:p w:rsidR="007B3C8C" w:rsidRPr="006E4006" w:rsidRDefault="007B3C8C" w:rsidP="00B250A4">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Twin Oaks Assoc. v. DeKalb Venture, Ltd</w:t>
      </w:r>
      <w:r w:rsidRPr="006E4006">
        <w:rPr>
          <w:i/>
          <w:iCs/>
          <w:sz w:val="24"/>
          <w:szCs w:val="24"/>
        </w:rPr>
        <w:t>.,</w:t>
      </w:r>
      <w:r w:rsidRPr="006E4006">
        <w:rPr>
          <w:sz w:val="24"/>
          <w:szCs w:val="24"/>
        </w:rPr>
        <w:t xml:space="preserve"> 190 Ga. App. 854, 855 (1989); </w:t>
      </w:r>
      <w:r w:rsidRPr="006E4006">
        <w:rPr>
          <w:sz w:val="24"/>
          <w:szCs w:val="24"/>
          <w:u w:val="single"/>
        </w:rPr>
        <w:t>First Data POS, Inc. v. Willis</w:t>
      </w:r>
      <w:r w:rsidRPr="006E4006">
        <w:rPr>
          <w:sz w:val="24"/>
          <w:szCs w:val="24"/>
        </w:rPr>
        <w:t>, 273 Ga. 792, 794 (2001).</w:t>
      </w:r>
    </w:p>
  </w:footnote>
  <w:footnote w:id="26">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196 Ga. App. 832, 833 (1990).</w:t>
      </w:r>
    </w:p>
  </w:footnote>
  <w:footnote w:id="27">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w:t>
      </w:r>
    </w:p>
  </w:footnote>
  <w:footnote w:id="28">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Id</w:t>
      </w:r>
      <w:r w:rsidRPr="006E4006">
        <w:rPr>
          <w:sz w:val="24"/>
          <w:szCs w:val="24"/>
        </w:rPr>
        <w:t>. at 834.</w:t>
      </w:r>
    </w:p>
  </w:footnote>
  <w:footnote w:id="29">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265 Ga. App. 720 (2004).</w:t>
      </w:r>
    </w:p>
  </w:footnote>
  <w:footnote w:id="30">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721.</w:t>
      </w:r>
    </w:p>
  </w:footnote>
  <w:footnote w:id="31">
    <w:p w:rsidR="007B3C8C" w:rsidRPr="006E4006" w:rsidRDefault="007B3C8C" w:rsidP="00B250A4">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Swisshelm v. Department of Human Resources</w:t>
      </w:r>
      <w:r w:rsidRPr="006E4006">
        <w:rPr>
          <w:sz w:val="24"/>
          <w:szCs w:val="24"/>
        </w:rPr>
        <w:t>, 253 Ga. App. 816, 817 (2002) (“The cardinal rule of construction is to ascertain the intention of the parties.”).</w:t>
      </w:r>
    </w:p>
  </w:footnote>
  <w:footnote w:id="32">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267 Ga. App. 675, 676, (2004).</w:t>
      </w:r>
    </w:p>
  </w:footnote>
  <w:footnote w:id="33">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Kerr-McGee Corp. v. Georgia Cas. &amp; Sur. Co</w:t>
      </w:r>
      <w:r w:rsidRPr="006E4006">
        <w:rPr>
          <w:i/>
          <w:iCs/>
          <w:sz w:val="24"/>
          <w:szCs w:val="24"/>
        </w:rPr>
        <w:t>.</w:t>
      </w:r>
      <w:r w:rsidRPr="006E4006">
        <w:rPr>
          <w:sz w:val="24"/>
          <w:szCs w:val="24"/>
        </w:rPr>
        <w:t>, 256 Ga. App. 458, 459 (2002).</w:t>
      </w:r>
    </w:p>
  </w:footnote>
  <w:footnote w:id="34">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Davies</w:t>
      </w:r>
      <w:r w:rsidRPr="006E4006">
        <w:rPr>
          <w:sz w:val="24"/>
          <w:szCs w:val="24"/>
        </w:rPr>
        <w:t>, 267 Ga. App. at 676.</w:t>
      </w:r>
    </w:p>
  </w:footnote>
  <w:footnote w:id="35">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iCs/>
          <w:sz w:val="24"/>
          <w:szCs w:val="24"/>
          <w:u w:val="single"/>
        </w:rPr>
        <w:t>Id.</w:t>
      </w:r>
      <w:r w:rsidRPr="006E4006">
        <w:rPr>
          <w:iCs/>
          <w:sz w:val="24"/>
          <w:szCs w:val="24"/>
        </w:rPr>
        <w:t xml:space="preserve"> at</w:t>
      </w:r>
      <w:r w:rsidRPr="006E4006">
        <w:rPr>
          <w:sz w:val="24"/>
          <w:szCs w:val="24"/>
        </w:rPr>
        <w:t xml:space="preserve"> 678.</w:t>
      </w:r>
    </w:p>
  </w:footnote>
  <w:footnote w:id="36">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324 Ga. App. 673, 673 (2013).</w:t>
      </w:r>
    </w:p>
  </w:footnote>
  <w:footnote w:id="37">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674.</w:t>
      </w:r>
    </w:p>
  </w:footnote>
  <w:footnote w:id="38">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39">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675.</w:t>
      </w:r>
    </w:p>
  </w:footnote>
  <w:footnote w:id="40">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676.</w:t>
      </w:r>
    </w:p>
  </w:footnote>
  <w:footnote w:id="41">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677.</w:t>
      </w:r>
    </w:p>
  </w:footnote>
  <w:footnote w:id="42">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43">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678.</w:t>
      </w:r>
    </w:p>
  </w:footnote>
  <w:footnote w:id="44">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45">
    <w:p w:rsidR="007B3C8C" w:rsidRPr="006E4006" w:rsidRDefault="007B3C8C" w:rsidP="00B250A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 xml:space="preserve"> at 679.</w:t>
      </w:r>
    </w:p>
  </w:footnote>
  <w:footnote w:id="46">
    <w:p w:rsidR="007B3C8C" w:rsidRPr="006E4006" w:rsidRDefault="007B3C8C" w:rsidP="00130D4F">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Snipes, et al. v. Marcene P. Powell &amp; Associates, Inc</w:t>
      </w:r>
      <w:r w:rsidRPr="006E4006">
        <w:rPr>
          <w:sz w:val="24"/>
          <w:szCs w:val="24"/>
        </w:rPr>
        <w:t>., 273 Ga. App. 814, 815-16 (2005).</w:t>
      </w:r>
    </w:p>
  </w:footnote>
  <w:footnote w:id="47">
    <w:p w:rsidR="007B3C8C" w:rsidRPr="006E4006" w:rsidRDefault="007B3C8C" w:rsidP="00130D4F">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Barrett, et al. v. Britt, et al</w:t>
      </w:r>
      <w:r w:rsidRPr="006E4006">
        <w:rPr>
          <w:sz w:val="24"/>
          <w:szCs w:val="24"/>
        </w:rPr>
        <w:t>., 319 Ga. App. 118, 122 (2012).</w:t>
      </w:r>
    </w:p>
  </w:footnote>
  <w:footnote w:id="48">
    <w:p w:rsidR="007B3C8C" w:rsidRPr="006E4006" w:rsidRDefault="007B3C8C" w:rsidP="00130D4F">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Rolan, et al. v. Glass</w:t>
      </w:r>
      <w:r w:rsidRPr="006E4006">
        <w:rPr>
          <w:sz w:val="24"/>
          <w:szCs w:val="24"/>
        </w:rPr>
        <w:t>, 305 Ga. App. 217, 220-21(2010).</w:t>
      </w:r>
    </w:p>
  </w:footnote>
  <w:footnote w:id="49">
    <w:p w:rsidR="007B3C8C" w:rsidRPr="006E4006" w:rsidRDefault="007B3C8C" w:rsidP="00130D4F">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Krogh, et al.  v. Pargar, LLC</w:t>
      </w:r>
      <w:r w:rsidRPr="006E4006">
        <w:rPr>
          <w:sz w:val="24"/>
          <w:szCs w:val="24"/>
        </w:rPr>
        <w:t>, 277 Ga. App. 35, 38-39 (2005).</w:t>
      </w:r>
    </w:p>
  </w:footnote>
  <w:footnote w:id="50">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O.C.G.A. § 13-5-30(4); </w:t>
      </w:r>
      <w:r w:rsidRPr="006E4006">
        <w:rPr>
          <w:sz w:val="24"/>
          <w:szCs w:val="24"/>
          <w:u w:val="single"/>
        </w:rPr>
        <w:t>but see</w:t>
      </w:r>
      <w:r w:rsidRPr="006E4006">
        <w:rPr>
          <w:sz w:val="24"/>
          <w:szCs w:val="24"/>
        </w:rPr>
        <w:t xml:space="preserve"> O.C.G.A. § 13-5-31 providing exceptions to statute of frauds which may be applicable.  Note that “part performance which will remove a contract from the statute of frauds refers to performance of the provisions of the contract and not acts done by one because of his belief in and reliance on the agreement.”  </w:t>
      </w:r>
      <w:r w:rsidRPr="006E4006">
        <w:rPr>
          <w:sz w:val="24"/>
          <w:szCs w:val="24"/>
          <w:u w:val="single"/>
        </w:rPr>
        <w:t>Zappa v. Basden</w:t>
      </w:r>
      <w:r w:rsidRPr="006E4006">
        <w:rPr>
          <w:sz w:val="24"/>
          <w:szCs w:val="24"/>
        </w:rPr>
        <w:t>, 188 Ga. App. 472, 476 (1988) (internal citations omitted</w:t>
      </w:r>
      <w:r w:rsidR="009801BC" w:rsidRPr="006E4006">
        <w:rPr>
          <w:sz w:val="24"/>
          <w:szCs w:val="24"/>
        </w:rPr>
        <w:t>)</w:t>
      </w:r>
      <w:r w:rsidRPr="006E4006">
        <w:rPr>
          <w:sz w:val="24"/>
          <w:szCs w:val="24"/>
        </w:rPr>
        <w:t>.</w:t>
      </w:r>
    </w:p>
  </w:footnote>
  <w:footnote w:id="51">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Pettit v. Gray</w:t>
      </w:r>
      <w:r w:rsidRPr="006E4006">
        <w:rPr>
          <w:sz w:val="24"/>
          <w:szCs w:val="24"/>
        </w:rPr>
        <w:t>, 211 Ga. App. 439, 439 (1993).</w:t>
      </w:r>
    </w:p>
  </w:footnote>
  <w:footnote w:id="52">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Walden v. Smith</w:t>
      </w:r>
      <w:r w:rsidRPr="006E4006">
        <w:rPr>
          <w:sz w:val="24"/>
          <w:szCs w:val="24"/>
        </w:rPr>
        <w:t>, 249 Ga. App. 32, 34 (2001) (holding that unless an oral modification falls within an exception to the Statute of Frauds, such modification is ineffective).</w:t>
      </w:r>
    </w:p>
  </w:footnote>
  <w:footnote w:id="53">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w:t>
      </w:r>
    </w:p>
  </w:footnote>
  <w:footnote w:id="54">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Miami Heights LT, LLC v. Home Depot U.S.A., Inc</w:t>
      </w:r>
      <w:r w:rsidRPr="006E4006">
        <w:rPr>
          <w:sz w:val="24"/>
          <w:szCs w:val="24"/>
        </w:rPr>
        <w:t>.</w:t>
      </w:r>
      <w:r w:rsidR="00A70118" w:rsidRPr="006E4006">
        <w:rPr>
          <w:sz w:val="24"/>
          <w:szCs w:val="24"/>
        </w:rPr>
        <w:t>,</w:t>
      </w:r>
      <w:r w:rsidRPr="006E4006">
        <w:rPr>
          <w:sz w:val="24"/>
          <w:szCs w:val="24"/>
        </w:rPr>
        <w:t xml:space="preserve"> 283 Ga. App. 779, 782 (2007) (quoting </w:t>
      </w:r>
      <w:r w:rsidRPr="006E4006">
        <w:rPr>
          <w:sz w:val="24"/>
          <w:szCs w:val="24"/>
          <w:u w:val="single"/>
        </w:rPr>
        <w:t>Kreimer v. Kreimer</w:t>
      </w:r>
      <w:r w:rsidRPr="006E4006">
        <w:rPr>
          <w:sz w:val="24"/>
          <w:szCs w:val="24"/>
        </w:rPr>
        <w:t>, 274 Ga. 359, 363 (2001)).</w:t>
      </w:r>
    </w:p>
  </w:footnote>
  <w:footnote w:id="55">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w:t>
      </w:r>
    </w:p>
  </w:footnote>
  <w:footnote w:id="56">
    <w:p w:rsidR="007B3C8C" w:rsidRPr="006E4006" w:rsidRDefault="007B3C8C" w:rsidP="009801BC">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Zappa v. Basden</w:t>
      </w:r>
      <w:r w:rsidRPr="006E4006">
        <w:rPr>
          <w:sz w:val="24"/>
          <w:szCs w:val="24"/>
        </w:rPr>
        <w:t>, 188 Ga. App. 472, 475 (1988) (holding that the agreement did not provide for every essential element of the contract because no agreement was reached on the specifics of payment of that portion of the sale price not paid at closing:  “Where the amount of the purchase price fixed by the contract is certain and definite, but the terms of payment are indefinite and uncertain, the writing is not a contract and confers no rights and imposes no liability.”).</w:t>
      </w:r>
    </w:p>
  </w:footnote>
  <w:footnote w:id="57">
    <w:p w:rsidR="007B3C8C" w:rsidRPr="006E4006" w:rsidRDefault="007B3C8C" w:rsidP="00A7011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Barnes v. Whatley</w:t>
      </w:r>
      <w:r w:rsidRPr="006E4006">
        <w:rPr>
          <w:sz w:val="24"/>
          <w:szCs w:val="24"/>
        </w:rPr>
        <w:t>, 221 Ga. App. 110, 111 (1996) (“In order for a contract for the sale of land to be valid, binding and enforceable, the description must describe the property to be sold with the same degree of certainty as that required in a deed conveying realty.”)</w:t>
      </w:r>
    </w:p>
  </w:footnote>
  <w:footnote w:id="58">
    <w:p w:rsidR="007B3C8C" w:rsidRPr="006E4006" w:rsidRDefault="007B3C8C" w:rsidP="00A70118">
      <w:pPr>
        <w:pStyle w:val="FootnoteText"/>
        <w:jc w:val="both"/>
        <w:rPr>
          <w:sz w:val="24"/>
          <w:szCs w:val="24"/>
        </w:rPr>
      </w:pPr>
      <w:r w:rsidRPr="006E4006">
        <w:rPr>
          <w:rStyle w:val="FootnoteReference"/>
          <w:sz w:val="24"/>
          <w:szCs w:val="24"/>
        </w:rPr>
        <w:footnoteRef/>
      </w:r>
      <w:r w:rsidRPr="006E4006">
        <w:rPr>
          <w:sz w:val="24"/>
          <w:szCs w:val="24"/>
        </w:rPr>
        <w:t xml:space="preserve"> O.C.G.A. § 13-5-31.</w:t>
      </w:r>
    </w:p>
  </w:footnote>
  <w:footnote w:id="59">
    <w:p w:rsidR="007B3C8C" w:rsidRPr="006E4006" w:rsidRDefault="007B3C8C" w:rsidP="00A7011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Dobbs v. Dobbs</w:t>
      </w:r>
      <w:r w:rsidRPr="006E4006">
        <w:rPr>
          <w:sz w:val="24"/>
          <w:szCs w:val="24"/>
        </w:rPr>
        <w:t>, 270 Ga. 887 (1999) (court ordered specific performance of an oral contract against the seller where the purchaser had party performed the contract).</w:t>
      </w:r>
    </w:p>
  </w:footnote>
  <w:footnote w:id="60">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Hernandez v. Carnes</w:t>
      </w:r>
      <w:r w:rsidRPr="006E4006">
        <w:rPr>
          <w:sz w:val="24"/>
          <w:szCs w:val="24"/>
        </w:rPr>
        <w:t>, 290 Ga. App. 730 (2008).</w:t>
      </w:r>
    </w:p>
  </w:footnote>
  <w:footnote w:id="61">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O.C.G.A. § 13-3-2.  </w:t>
      </w:r>
    </w:p>
  </w:footnote>
  <w:footnote w:id="62">
    <w:p w:rsidR="007B3C8C" w:rsidRPr="006E4006" w:rsidRDefault="007B3C8C" w:rsidP="00073F4E">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Sierra Associates, Ltd. V. Continental Illinois Nat. Bank &amp; Trust Co. of Chicago</w:t>
      </w:r>
      <w:r w:rsidRPr="006E4006">
        <w:rPr>
          <w:sz w:val="24"/>
          <w:szCs w:val="24"/>
        </w:rPr>
        <w:t>, 169 Ga.App. 784 (1984).</w:t>
      </w:r>
    </w:p>
  </w:footnote>
  <w:footnote w:id="63">
    <w:p w:rsidR="00FC4234" w:rsidRPr="006E4006" w:rsidRDefault="00FC4234" w:rsidP="00073F4E">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Century 21 Pinetree Properties, Inc. v. Cason</w:t>
      </w:r>
      <w:r w:rsidRPr="006E4006">
        <w:rPr>
          <w:sz w:val="24"/>
          <w:szCs w:val="24"/>
        </w:rPr>
        <w:t xml:space="preserve">, 220 Ga. App. 355 (1996); </w:t>
      </w:r>
      <w:r w:rsidRPr="006E4006">
        <w:rPr>
          <w:sz w:val="24"/>
          <w:szCs w:val="24"/>
          <w:u w:val="single"/>
        </w:rPr>
        <w:t>see</w:t>
      </w:r>
      <w:r w:rsidRPr="006E4006">
        <w:rPr>
          <w:sz w:val="24"/>
          <w:szCs w:val="24"/>
        </w:rPr>
        <w:t xml:space="preserve"> </w:t>
      </w:r>
      <w:r w:rsidRPr="006E4006">
        <w:rPr>
          <w:sz w:val="24"/>
          <w:szCs w:val="24"/>
          <w:u w:val="single"/>
        </w:rPr>
        <w:t>also</w:t>
      </w:r>
      <w:r w:rsidRPr="006E4006">
        <w:rPr>
          <w:sz w:val="24"/>
          <w:szCs w:val="24"/>
        </w:rPr>
        <w:t xml:space="preserve"> </w:t>
      </w:r>
      <w:r w:rsidRPr="006E4006">
        <w:rPr>
          <w:sz w:val="24"/>
          <w:szCs w:val="24"/>
          <w:u w:val="single"/>
        </w:rPr>
        <w:t>Panfel v. Boyd</w:t>
      </w:r>
      <w:r w:rsidRPr="006E4006">
        <w:rPr>
          <w:sz w:val="24"/>
          <w:szCs w:val="24"/>
        </w:rPr>
        <w:t>, 187 Ga. App. 639 (1988).</w:t>
      </w:r>
    </w:p>
  </w:footnote>
  <w:footnote w:id="64">
    <w:p w:rsidR="007B3C8C" w:rsidRPr="006E4006" w:rsidRDefault="007B3C8C" w:rsidP="00073F4E">
      <w:pPr>
        <w:pStyle w:val="FootnoteText"/>
        <w:jc w:val="both"/>
        <w:rPr>
          <w:sz w:val="24"/>
          <w:szCs w:val="24"/>
        </w:rPr>
      </w:pPr>
      <w:r w:rsidRPr="006E4006">
        <w:rPr>
          <w:rStyle w:val="FootnoteReference"/>
          <w:sz w:val="24"/>
          <w:szCs w:val="24"/>
        </w:rPr>
        <w:footnoteRef/>
      </w:r>
      <w:r w:rsidRPr="006E4006">
        <w:rPr>
          <w:sz w:val="24"/>
          <w:szCs w:val="24"/>
        </w:rPr>
        <w:t xml:space="preserve"> Daniel F. Hinkel, Pindar’s Georgia Real Estate Law &amp; Procedure § 18-13 (7</w:t>
      </w:r>
      <w:r w:rsidRPr="006E4006">
        <w:rPr>
          <w:sz w:val="24"/>
          <w:szCs w:val="24"/>
          <w:vertAlign w:val="superscript"/>
        </w:rPr>
        <w:t>th</w:t>
      </w:r>
      <w:r w:rsidRPr="006E4006">
        <w:rPr>
          <w:sz w:val="24"/>
          <w:szCs w:val="24"/>
        </w:rPr>
        <w:t xml:space="preserve"> ed.).</w:t>
      </w:r>
    </w:p>
  </w:footnote>
  <w:footnote w:id="65">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Daniel F. Hinkel, Pindar’s Georgia Real Estate Law &amp; Procedure § 18-9 (7</w:t>
      </w:r>
      <w:r w:rsidRPr="006E4006">
        <w:rPr>
          <w:sz w:val="24"/>
          <w:szCs w:val="24"/>
          <w:vertAlign w:val="superscript"/>
        </w:rPr>
        <w:t>th</w:t>
      </w:r>
      <w:r w:rsidRPr="006E4006">
        <w:rPr>
          <w:sz w:val="24"/>
          <w:szCs w:val="24"/>
        </w:rPr>
        <w:t xml:space="preserve"> ed.).</w:t>
      </w:r>
    </w:p>
  </w:footnote>
  <w:footnote w:id="66">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DuPree v. South Atlantic Conference of Seventh-Day Adventists, Inc</w:t>
      </w:r>
      <w:r w:rsidRPr="006E4006">
        <w:rPr>
          <w:sz w:val="24"/>
          <w:szCs w:val="24"/>
        </w:rPr>
        <w:t>., 299 Ga. App. 352 (2009) (seller may have waived its right to object to the purchaser’s failure to satisfy the earnest money payment by saying nothing about the lack of payment for more than a year after the deadline passed).</w:t>
      </w:r>
    </w:p>
  </w:footnote>
  <w:footnote w:id="67">
    <w:p w:rsidR="007B3C8C" w:rsidRPr="006E4006" w:rsidRDefault="007B3C8C" w:rsidP="00035891">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Swan Kang, Inc. v. Kang</w:t>
      </w:r>
      <w:r w:rsidRPr="006E4006">
        <w:rPr>
          <w:sz w:val="24"/>
          <w:szCs w:val="24"/>
        </w:rPr>
        <w:t>, 243 Ga. App. 684 (2000) (holding that a $20,000 earnest money deposit was an enforceable reasonable liquidated damage amount under a contract.  The court held that the earnest money payment represented approximately two percent of the purchase price and in the absence of any evidence to the contrary, the amount was reasonable).</w:t>
      </w:r>
    </w:p>
  </w:footnote>
  <w:footnote w:id="68">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Atlanta Integrity Mortg., Inc. v. Ben Hill United Methodist Church</w:t>
      </w:r>
      <w:r w:rsidRPr="006E4006">
        <w:rPr>
          <w:sz w:val="24"/>
          <w:szCs w:val="24"/>
        </w:rPr>
        <w:t>, 286 Ga. App. 795 (2007).</w:t>
      </w:r>
    </w:p>
  </w:footnote>
  <w:footnote w:id="69">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Hampton Island, LLC v. HAOP, LLC</w:t>
      </w:r>
      <w:r w:rsidRPr="006E4006">
        <w:rPr>
          <w:sz w:val="24"/>
          <w:szCs w:val="24"/>
        </w:rPr>
        <w:t>, 306 Ga. App. 542, 548 (2010)</w:t>
      </w:r>
      <w:r w:rsidR="00947EA8" w:rsidRPr="006E4006">
        <w:rPr>
          <w:sz w:val="24"/>
          <w:szCs w:val="24"/>
        </w:rPr>
        <w:t>.</w:t>
      </w:r>
      <w:r w:rsidRPr="006E4006">
        <w:rPr>
          <w:sz w:val="24"/>
          <w:szCs w:val="24"/>
        </w:rPr>
        <w:t xml:space="preserve"> </w:t>
      </w:r>
    </w:p>
  </w:footnote>
  <w:footnote w:id="70">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p>
  </w:footnote>
  <w:footnote w:id="71">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Id</w:t>
      </w:r>
      <w:r w:rsidRPr="006E4006">
        <w:rPr>
          <w:sz w:val="24"/>
          <w:szCs w:val="24"/>
        </w:rPr>
        <w:t>.</w:t>
      </w:r>
    </w:p>
  </w:footnote>
  <w:footnote w:id="72">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Peaches Land Trust v. Lumpkin County School Board</w:t>
      </w:r>
      <w:r w:rsidRPr="006E4006">
        <w:rPr>
          <w:sz w:val="24"/>
          <w:szCs w:val="24"/>
        </w:rPr>
        <w:t>, 286 Ga. App. 103 (2007).</w:t>
      </w:r>
    </w:p>
  </w:footnote>
  <w:footnote w:id="73">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Gilleland v. Welch</w:t>
      </w:r>
      <w:r w:rsidRPr="006E4006">
        <w:rPr>
          <w:sz w:val="24"/>
          <w:szCs w:val="24"/>
        </w:rPr>
        <w:t>, 199 Ga. 341 (1945).</w:t>
      </w:r>
    </w:p>
  </w:footnote>
  <w:footnote w:id="74">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Peaches Land Trust</w:t>
      </w:r>
      <w:r w:rsidRPr="006E4006">
        <w:rPr>
          <w:sz w:val="24"/>
          <w:szCs w:val="24"/>
        </w:rPr>
        <w:t>, supra.</w:t>
      </w:r>
    </w:p>
  </w:footnote>
  <w:footnote w:id="75">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Cummings v. Johnson</w:t>
      </w:r>
      <w:r w:rsidRPr="006E4006">
        <w:rPr>
          <w:sz w:val="24"/>
          <w:szCs w:val="24"/>
        </w:rPr>
        <w:t xml:space="preserve">, 218 Ga. 559, 562 (1963).  </w:t>
      </w:r>
    </w:p>
  </w:footnote>
  <w:footnote w:id="76">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Daniel F. Hinkel, Pindar’s Georgia Real Estate Law &amp; Procedure § 18-20 (7</w:t>
      </w:r>
      <w:r w:rsidRPr="006E4006">
        <w:rPr>
          <w:sz w:val="24"/>
          <w:szCs w:val="24"/>
          <w:vertAlign w:val="superscript"/>
        </w:rPr>
        <w:t>th</w:t>
      </w:r>
      <w:r w:rsidRPr="006E4006">
        <w:rPr>
          <w:sz w:val="24"/>
          <w:szCs w:val="24"/>
        </w:rPr>
        <w:t xml:space="preserve"> ed.).</w:t>
      </w:r>
    </w:p>
  </w:footnote>
  <w:footnote w:id="77">
    <w:p w:rsidR="007B3C8C" w:rsidRPr="006E4006" w:rsidRDefault="007B3C8C" w:rsidP="00241188">
      <w:pPr>
        <w:pStyle w:val="FootnoteText"/>
        <w:jc w:val="both"/>
        <w:rPr>
          <w:sz w:val="24"/>
          <w:szCs w:val="24"/>
        </w:rPr>
      </w:pPr>
      <w:r w:rsidRPr="006E4006">
        <w:rPr>
          <w:rStyle w:val="FootnoteReference"/>
          <w:sz w:val="24"/>
          <w:szCs w:val="24"/>
        </w:rPr>
        <w:footnoteRef/>
      </w:r>
      <w:r w:rsidRPr="006E4006">
        <w:rPr>
          <w:sz w:val="24"/>
          <w:szCs w:val="24"/>
        </w:rPr>
        <w:t xml:space="preserve"> Under Georgia law, a party can be barred from obtaining the equitable relief of specific performance if he is guilty of unclean hands.  </w:t>
      </w:r>
      <w:r w:rsidRPr="006E4006">
        <w:rPr>
          <w:sz w:val="24"/>
          <w:szCs w:val="24"/>
          <w:u w:val="single"/>
        </w:rPr>
        <w:t>Hampton Island, LLC</w:t>
      </w:r>
      <w:r w:rsidRPr="006E4006">
        <w:rPr>
          <w:sz w:val="24"/>
          <w:szCs w:val="24"/>
        </w:rPr>
        <w:t>, 306 Ga. App. at 546.</w:t>
      </w:r>
    </w:p>
  </w:footnote>
  <w:footnote w:id="78">
    <w:p w:rsidR="007B3C8C" w:rsidRPr="006E4006" w:rsidRDefault="007B3C8C" w:rsidP="00946DD2">
      <w:pPr>
        <w:pStyle w:val="FootnoteText"/>
        <w:jc w:val="both"/>
        <w:rPr>
          <w:sz w:val="24"/>
          <w:szCs w:val="24"/>
        </w:rPr>
      </w:pPr>
      <w:r w:rsidRPr="006E4006">
        <w:rPr>
          <w:rStyle w:val="FootnoteReference"/>
          <w:sz w:val="24"/>
          <w:szCs w:val="24"/>
        </w:rPr>
        <w:footnoteRef/>
      </w:r>
      <w:r w:rsidRPr="006E4006">
        <w:rPr>
          <w:sz w:val="24"/>
          <w:szCs w:val="24"/>
        </w:rPr>
        <w:t xml:space="preserve"> Daniel F. Hinkel, Pindar’s Georgia Real Estate Law &amp; Procedure § 18-45 (7</w:t>
      </w:r>
      <w:r w:rsidRPr="006E4006">
        <w:rPr>
          <w:sz w:val="24"/>
          <w:szCs w:val="24"/>
          <w:vertAlign w:val="superscript"/>
        </w:rPr>
        <w:t>th</w:t>
      </w:r>
      <w:r w:rsidRPr="006E4006">
        <w:rPr>
          <w:sz w:val="24"/>
          <w:szCs w:val="24"/>
        </w:rPr>
        <w:t xml:space="preserve"> ed.).</w:t>
      </w:r>
    </w:p>
  </w:footnote>
  <w:footnote w:id="79">
    <w:p w:rsidR="007B3C8C" w:rsidRPr="006E4006" w:rsidRDefault="007B3C8C" w:rsidP="00946DD2">
      <w:pPr>
        <w:pStyle w:val="FootnoteText"/>
        <w:jc w:val="both"/>
        <w:rPr>
          <w:sz w:val="24"/>
          <w:szCs w:val="24"/>
        </w:rPr>
      </w:pPr>
      <w:r w:rsidRPr="006E4006">
        <w:rPr>
          <w:rStyle w:val="FootnoteReference"/>
          <w:sz w:val="24"/>
          <w:szCs w:val="24"/>
        </w:rPr>
        <w:footnoteRef/>
      </w:r>
      <w:r w:rsidRPr="006E4006">
        <w:rPr>
          <w:sz w:val="24"/>
          <w:szCs w:val="24"/>
        </w:rPr>
        <w:t xml:space="preserve"> O.C.G.A. § 13-4-60.</w:t>
      </w:r>
    </w:p>
  </w:footnote>
  <w:footnote w:id="80">
    <w:p w:rsidR="007B3C8C" w:rsidRPr="006E4006" w:rsidRDefault="007B3C8C" w:rsidP="00946DD2">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Roberts v. Grover</w:t>
      </w:r>
      <w:r w:rsidRPr="006E4006">
        <w:rPr>
          <w:sz w:val="24"/>
          <w:szCs w:val="24"/>
        </w:rPr>
        <w:t>, 156 Ga. 386 (1923).</w:t>
      </w:r>
    </w:p>
  </w:footnote>
  <w:footnote w:id="81">
    <w:p w:rsidR="007B3C8C" w:rsidRPr="006E4006" w:rsidRDefault="007B3C8C" w:rsidP="00946DD2">
      <w:pPr>
        <w:pStyle w:val="FootnoteText"/>
        <w:jc w:val="both"/>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Lakeside Investments Group, Inc. v. Allen</w:t>
      </w:r>
      <w:r w:rsidRPr="006E4006">
        <w:rPr>
          <w:sz w:val="24"/>
          <w:szCs w:val="24"/>
        </w:rPr>
        <w:t>, 253 Ga. App. 448 (2002) (holding that purchaser affirmed a contract when, after learning of the alleged fraud, it had the property rezoned and continued to build office buildings thereon; rescission of the contract based on alleged fraud was barred).</w:t>
      </w:r>
    </w:p>
  </w:footnote>
  <w:footnote w:id="82">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See</w:t>
      </w:r>
      <w:r w:rsidRPr="006E4006">
        <w:rPr>
          <w:sz w:val="24"/>
          <w:szCs w:val="24"/>
        </w:rPr>
        <w:t xml:space="preserve"> </w:t>
      </w:r>
      <w:r w:rsidRPr="006E4006">
        <w:rPr>
          <w:sz w:val="24"/>
          <w:szCs w:val="24"/>
          <w:u w:val="single"/>
        </w:rPr>
        <w:t>Holloman v. D.R. Horton, Inc</w:t>
      </w:r>
      <w:r w:rsidRPr="006E4006">
        <w:rPr>
          <w:sz w:val="24"/>
          <w:szCs w:val="24"/>
        </w:rPr>
        <w:t>., 241 Ga. App. 141 (1999).</w:t>
      </w:r>
    </w:p>
  </w:footnote>
  <w:footnote w:id="83">
    <w:p w:rsidR="007B3C8C" w:rsidRPr="006E4006" w:rsidRDefault="007B3C8C" w:rsidP="00212CC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Ainsworth v. Perrault</w:t>
      </w:r>
      <w:r w:rsidRPr="006E4006">
        <w:rPr>
          <w:sz w:val="24"/>
          <w:szCs w:val="24"/>
        </w:rPr>
        <w:t xml:space="preserve">, 254 Ga. App. 470, 474 (2002).  </w:t>
      </w:r>
    </w:p>
  </w:footnote>
  <w:footnote w:id="84">
    <w:p w:rsidR="007B3C8C" w:rsidRPr="006E4006" w:rsidRDefault="007B3C8C" w:rsidP="00212CC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Harkins v. Channell</w:t>
      </w:r>
      <w:r w:rsidRPr="006E4006">
        <w:rPr>
          <w:sz w:val="24"/>
          <w:szCs w:val="24"/>
        </w:rPr>
        <w:t>, 274 Ga. App. 478 (2005).</w:t>
      </w:r>
    </w:p>
  </w:footnote>
  <w:footnote w:id="85">
    <w:p w:rsidR="007B3C8C" w:rsidRPr="006E4006" w:rsidRDefault="007B3C8C" w:rsidP="00212CC4">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Ainsworth</w:t>
      </w:r>
      <w:r w:rsidRPr="006E4006">
        <w:rPr>
          <w:sz w:val="24"/>
          <w:szCs w:val="24"/>
        </w:rPr>
        <w:t>, 254 Ga. App. at 472.</w:t>
      </w:r>
    </w:p>
  </w:footnote>
  <w:footnote w:id="86">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City of Cairo v. Hightower Consulting Engineers, Inc</w:t>
      </w:r>
      <w:r w:rsidRPr="006E4006">
        <w:rPr>
          <w:sz w:val="24"/>
          <w:szCs w:val="24"/>
        </w:rPr>
        <w:t xml:space="preserve">., 278 Ga. App. 721, 728 (2006) (quoting </w:t>
      </w:r>
      <w:r w:rsidRPr="006E4006">
        <w:rPr>
          <w:sz w:val="24"/>
          <w:szCs w:val="24"/>
          <w:u w:val="single"/>
        </w:rPr>
        <w:t>Flintkote Co. v. Dravo Corp</w:t>
      </w:r>
      <w:r w:rsidRPr="006E4006">
        <w:rPr>
          <w:sz w:val="24"/>
          <w:szCs w:val="24"/>
        </w:rPr>
        <w:t>., 678 F.2d 942, 949 (11</w:t>
      </w:r>
      <w:r w:rsidRPr="006E4006">
        <w:rPr>
          <w:sz w:val="24"/>
          <w:szCs w:val="24"/>
          <w:vertAlign w:val="superscript"/>
        </w:rPr>
        <w:t>th</w:t>
      </w:r>
      <w:r w:rsidRPr="006E4006">
        <w:rPr>
          <w:sz w:val="24"/>
          <w:szCs w:val="24"/>
        </w:rPr>
        <w:t xml:space="preserve"> Cir. 1982)).</w:t>
      </w:r>
    </w:p>
  </w:footnote>
  <w:footnote w:id="87">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City of Cairo</w:t>
      </w:r>
      <w:r w:rsidRPr="006E4006">
        <w:rPr>
          <w:sz w:val="24"/>
          <w:szCs w:val="24"/>
        </w:rPr>
        <w:t xml:space="preserve">, 278 Ga. App. at 728 (quoting </w:t>
      </w:r>
      <w:r w:rsidRPr="006E4006">
        <w:rPr>
          <w:sz w:val="24"/>
          <w:szCs w:val="24"/>
          <w:u w:val="single"/>
        </w:rPr>
        <w:t>Gen. Elec. Co. v. Lowe’s Home Centers</w:t>
      </w:r>
      <w:r w:rsidRPr="006E4006">
        <w:rPr>
          <w:sz w:val="24"/>
          <w:szCs w:val="24"/>
        </w:rPr>
        <w:t>, 279 Ga. 77, 78 (2005)).</w:t>
      </w:r>
    </w:p>
  </w:footnote>
  <w:footnote w:id="88">
    <w:p w:rsidR="007B3C8C" w:rsidRPr="006E4006" w:rsidRDefault="007B3C8C">
      <w:pPr>
        <w:pStyle w:val="FootnoteText"/>
        <w:rPr>
          <w:sz w:val="24"/>
          <w:szCs w:val="24"/>
        </w:rPr>
      </w:pPr>
      <w:r w:rsidRPr="006E4006">
        <w:rPr>
          <w:rStyle w:val="FootnoteReference"/>
          <w:sz w:val="24"/>
          <w:szCs w:val="24"/>
        </w:rPr>
        <w:footnoteRef/>
      </w:r>
      <w:r w:rsidRPr="006E4006">
        <w:rPr>
          <w:sz w:val="24"/>
          <w:szCs w:val="24"/>
        </w:rPr>
        <w:t xml:space="preserve"> </w:t>
      </w:r>
      <w:r w:rsidRPr="006E4006">
        <w:rPr>
          <w:sz w:val="24"/>
          <w:szCs w:val="24"/>
          <w:u w:val="single"/>
        </w:rPr>
        <w:t>City of Cairo</w:t>
      </w:r>
      <w:r w:rsidRPr="006E4006">
        <w:rPr>
          <w:sz w:val="24"/>
          <w:szCs w:val="24"/>
        </w:rPr>
        <w:t xml:space="preserve">, 278 Ga. App. at 728 (quoting </w:t>
      </w:r>
      <w:r w:rsidRPr="006E4006">
        <w:rPr>
          <w:sz w:val="24"/>
          <w:szCs w:val="24"/>
          <w:u w:val="single"/>
        </w:rPr>
        <w:t>Holloman v. D.R. Horton Inc</w:t>
      </w:r>
      <w:r w:rsidRPr="006E4006">
        <w:rPr>
          <w:sz w:val="24"/>
          <w:szCs w:val="24"/>
        </w:rPr>
        <w:t>., 241 Ga. App. 141, 147-148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C" w:rsidRDefault="00762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C" w:rsidRDefault="00762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C" w:rsidRDefault="00762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62A7"/>
    <w:multiLevelType w:val="multilevel"/>
    <w:tmpl w:val="89D6759A"/>
    <w:lvl w:ilvl="0">
      <w:start w:val="1"/>
      <w:numFmt w:val="upperRoman"/>
      <w:pStyle w:val="Heading1"/>
      <w:lvlText w:val="%1."/>
      <w:lvlJc w:val="left"/>
      <w:pPr>
        <w:ind w:left="360" w:hanging="360"/>
      </w:pPr>
      <w:rPr>
        <w:rFonts w:ascii="Georgia Bold" w:hAnsi="Georgia Bold"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upperLetter"/>
      <w:pStyle w:val="Heading2"/>
      <w:lvlText w:val="%2."/>
      <w:lvlJc w:val="left"/>
      <w:pPr>
        <w:ind w:left="720" w:hanging="360"/>
      </w:pPr>
      <w:rPr>
        <w:rFonts w:ascii="Georgia Bold" w:hAnsi="Georgia Bold" w:hint="default"/>
        <w:b/>
        <w:i w:val="0"/>
        <w:caps w:val="0"/>
        <w:strike w:val="0"/>
        <w:dstrike w:val="0"/>
        <w:outline w:val="0"/>
        <w:shadow w:val="0"/>
        <w:emboss w:val="0"/>
        <w:imprint w:val="0"/>
        <w:vanish w:val="0"/>
        <w:color w:val="auto"/>
        <w:spacing w:val="0"/>
        <w:w w:val="100"/>
        <w:kern w:val="0"/>
        <w:position w:val="0"/>
        <w:sz w:val="24"/>
        <w:u w:val="none"/>
        <w:vertAlign w:val="baseline"/>
      </w:rPr>
    </w:lvl>
    <w:lvl w:ilvl="2">
      <w:start w:val="1"/>
      <w:numFmt w:val="decimal"/>
      <w:pStyle w:val="Heading3"/>
      <w:lvlText w:val="%3."/>
      <w:lvlJc w:val="left"/>
      <w:pPr>
        <w:ind w:left="1080" w:hanging="360"/>
      </w:pPr>
      <w:rPr>
        <w:rFonts w:ascii="Georgia" w:hAnsi="Georgia" w:hint="default"/>
        <w:b w:val="0"/>
        <w:i/>
        <w:caps w:val="0"/>
        <w:strike w:val="0"/>
        <w:dstrike w:val="0"/>
        <w:outline w:val="0"/>
        <w:shadow w:val="0"/>
        <w:emboss w:val="0"/>
        <w:imprint w:val="0"/>
        <w:vanish w:val="0"/>
        <w:color w:val="auto"/>
        <w:spacing w:val="0"/>
        <w:w w:val="100"/>
        <w:kern w:val="0"/>
        <w:position w:val="0"/>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F17BEA"/>
    <w:multiLevelType w:val="hybridMultilevel"/>
    <w:tmpl w:val="2F22948E"/>
    <w:lvl w:ilvl="0" w:tplc="9730A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3469C"/>
    <w:multiLevelType w:val="hybridMultilevel"/>
    <w:tmpl w:val="1EC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71E44"/>
    <w:multiLevelType w:val="hybridMultilevel"/>
    <w:tmpl w:val="610EB674"/>
    <w:lvl w:ilvl="0" w:tplc="F8101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E6000"/>
    <w:multiLevelType w:val="hybridMultilevel"/>
    <w:tmpl w:val="C248F1BC"/>
    <w:lvl w:ilvl="0" w:tplc="CEF4E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34565F"/>
    <w:multiLevelType w:val="hybridMultilevel"/>
    <w:tmpl w:val="50B6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C6C66"/>
    <w:multiLevelType w:val="hybridMultilevel"/>
    <w:tmpl w:val="8A5C4F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714158"/>
    <w:multiLevelType w:val="hybridMultilevel"/>
    <w:tmpl w:val="22CA0544"/>
    <w:lvl w:ilvl="0" w:tplc="3DE85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5B6D59"/>
    <w:multiLevelType w:val="hybridMultilevel"/>
    <w:tmpl w:val="D97029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A57C7"/>
    <w:multiLevelType w:val="hybridMultilevel"/>
    <w:tmpl w:val="6A18B630"/>
    <w:lvl w:ilvl="0" w:tplc="1B4CB6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6A5994"/>
    <w:multiLevelType w:val="hybridMultilevel"/>
    <w:tmpl w:val="070E285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0"/>
  </w:num>
  <w:num w:numId="4">
    <w:abstractNumId w:val="0"/>
  </w:num>
  <w:num w:numId="5">
    <w:abstractNumId w:val="9"/>
  </w:num>
  <w:num w:numId="6">
    <w:abstractNumId w:val="4"/>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DB"/>
    <w:rsid w:val="000038FE"/>
    <w:rsid w:val="0001302D"/>
    <w:rsid w:val="00017288"/>
    <w:rsid w:val="00027EB9"/>
    <w:rsid w:val="00035891"/>
    <w:rsid w:val="0004722E"/>
    <w:rsid w:val="00054DDC"/>
    <w:rsid w:val="0005514C"/>
    <w:rsid w:val="00073F4E"/>
    <w:rsid w:val="0009220D"/>
    <w:rsid w:val="000A033A"/>
    <w:rsid w:val="000B4C43"/>
    <w:rsid w:val="000B5D98"/>
    <w:rsid w:val="000B7C5B"/>
    <w:rsid w:val="000C0664"/>
    <w:rsid w:val="000C62AE"/>
    <w:rsid w:val="000D6E8C"/>
    <w:rsid w:val="000E1245"/>
    <w:rsid w:val="000F5F0E"/>
    <w:rsid w:val="00101999"/>
    <w:rsid w:val="00104F82"/>
    <w:rsid w:val="00107B51"/>
    <w:rsid w:val="0011190E"/>
    <w:rsid w:val="00122438"/>
    <w:rsid w:val="00130D4F"/>
    <w:rsid w:val="00142290"/>
    <w:rsid w:val="00150E48"/>
    <w:rsid w:val="001575B8"/>
    <w:rsid w:val="00166FCC"/>
    <w:rsid w:val="00186CF8"/>
    <w:rsid w:val="0018756B"/>
    <w:rsid w:val="001A35BB"/>
    <w:rsid w:val="001B3C11"/>
    <w:rsid w:val="001B4C1B"/>
    <w:rsid w:val="001B5794"/>
    <w:rsid w:val="001C3CBD"/>
    <w:rsid w:val="001E308C"/>
    <w:rsid w:val="001E3EBF"/>
    <w:rsid w:val="001F70D3"/>
    <w:rsid w:val="00200BB3"/>
    <w:rsid w:val="00200C9E"/>
    <w:rsid w:val="002025C8"/>
    <w:rsid w:val="0021236D"/>
    <w:rsid w:val="0021244A"/>
    <w:rsid w:val="00212CC4"/>
    <w:rsid w:val="00227B81"/>
    <w:rsid w:val="00230509"/>
    <w:rsid w:val="00232CF4"/>
    <w:rsid w:val="00241188"/>
    <w:rsid w:val="00246B8A"/>
    <w:rsid w:val="00254869"/>
    <w:rsid w:val="002637A1"/>
    <w:rsid w:val="00277B27"/>
    <w:rsid w:val="002825A0"/>
    <w:rsid w:val="002B7B14"/>
    <w:rsid w:val="002C712B"/>
    <w:rsid w:val="002C7941"/>
    <w:rsid w:val="002D30C0"/>
    <w:rsid w:val="002E66EC"/>
    <w:rsid w:val="002F1422"/>
    <w:rsid w:val="002F2E5A"/>
    <w:rsid w:val="002F351C"/>
    <w:rsid w:val="002F3B96"/>
    <w:rsid w:val="002F51F4"/>
    <w:rsid w:val="002F7125"/>
    <w:rsid w:val="00307E52"/>
    <w:rsid w:val="003124E8"/>
    <w:rsid w:val="00324DF2"/>
    <w:rsid w:val="00327932"/>
    <w:rsid w:val="003304C5"/>
    <w:rsid w:val="003535A5"/>
    <w:rsid w:val="00357D2D"/>
    <w:rsid w:val="003657AF"/>
    <w:rsid w:val="003777D6"/>
    <w:rsid w:val="00396835"/>
    <w:rsid w:val="003A2627"/>
    <w:rsid w:val="003A3ADA"/>
    <w:rsid w:val="003A5293"/>
    <w:rsid w:val="003A7716"/>
    <w:rsid w:val="003C57EE"/>
    <w:rsid w:val="003D4BE3"/>
    <w:rsid w:val="003E0B51"/>
    <w:rsid w:val="003E193D"/>
    <w:rsid w:val="003E26CD"/>
    <w:rsid w:val="003E5B68"/>
    <w:rsid w:val="00414811"/>
    <w:rsid w:val="0042087A"/>
    <w:rsid w:val="004238C7"/>
    <w:rsid w:val="00446F00"/>
    <w:rsid w:val="00455C79"/>
    <w:rsid w:val="00462CFE"/>
    <w:rsid w:val="00496698"/>
    <w:rsid w:val="004A2977"/>
    <w:rsid w:val="004A63DE"/>
    <w:rsid w:val="004B69AC"/>
    <w:rsid w:val="004C4636"/>
    <w:rsid w:val="004C4785"/>
    <w:rsid w:val="004D0E01"/>
    <w:rsid w:val="004F16BD"/>
    <w:rsid w:val="004F1C1F"/>
    <w:rsid w:val="004F1FD4"/>
    <w:rsid w:val="004F4B30"/>
    <w:rsid w:val="004F7F06"/>
    <w:rsid w:val="0050475A"/>
    <w:rsid w:val="00506A00"/>
    <w:rsid w:val="00553507"/>
    <w:rsid w:val="005565A7"/>
    <w:rsid w:val="00581DA3"/>
    <w:rsid w:val="005B13AD"/>
    <w:rsid w:val="005B37FC"/>
    <w:rsid w:val="005C053B"/>
    <w:rsid w:val="005C66E6"/>
    <w:rsid w:val="005C7CBA"/>
    <w:rsid w:val="005D7329"/>
    <w:rsid w:val="005F1A42"/>
    <w:rsid w:val="006201BE"/>
    <w:rsid w:val="0062796E"/>
    <w:rsid w:val="00627CAC"/>
    <w:rsid w:val="00632AC2"/>
    <w:rsid w:val="00635EB1"/>
    <w:rsid w:val="0064006A"/>
    <w:rsid w:val="006405DB"/>
    <w:rsid w:val="00641E0C"/>
    <w:rsid w:val="0064730A"/>
    <w:rsid w:val="00650EA7"/>
    <w:rsid w:val="00651498"/>
    <w:rsid w:val="00653E37"/>
    <w:rsid w:val="006953CC"/>
    <w:rsid w:val="006B07FA"/>
    <w:rsid w:val="006C1B74"/>
    <w:rsid w:val="006C2819"/>
    <w:rsid w:val="006E2DE2"/>
    <w:rsid w:val="006E4006"/>
    <w:rsid w:val="006F1001"/>
    <w:rsid w:val="006F1EA4"/>
    <w:rsid w:val="006F5764"/>
    <w:rsid w:val="00700802"/>
    <w:rsid w:val="00703534"/>
    <w:rsid w:val="00711995"/>
    <w:rsid w:val="00717077"/>
    <w:rsid w:val="0073138E"/>
    <w:rsid w:val="00734189"/>
    <w:rsid w:val="007405E8"/>
    <w:rsid w:val="007472F9"/>
    <w:rsid w:val="00757B2B"/>
    <w:rsid w:val="007618F2"/>
    <w:rsid w:val="007620A8"/>
    <w:rsid w:val="00762E5C"/>
    <w:rsid w:val="00774D58"/>
    <w:rsid w:val="007943A5"/>
    <w:rsid w:val="007969F1"/>
    <w:rsid w:val="007B2574"/>
    <w:rsid w:val="007B3C8C"/>
    <w:rsid w:val="007E61F6"/>
    <w:rsid w:val="00820CD9"/>
    <w:rsid w:val="0083713C"/>
    <w:rsid w:val="0084494D"/>
    <w:rsid w:val="00844CFD"/>
    <w:rsid w:val="0085132C"/>
    <w:rsid w:val="0085281A"/>
    <w:rsid w:val="00857D75"/>
    <w:rsid w:val="0087391E"/>
    <w:rsid w:val="00874AB2"/>
    <w:rsid w:val="00891A95"/>
    <w:rsid w:val="008929D3"/>
    <w:rsid w:val="008930BC"/>
    <w:rsid w:val="00895811"/>
    <w:rsid w:val="008A5259"/>
    <w:rsid w:val="008C4164"/>
    <w:rsid w:val="008D58C5"/>
    <w:rsid w:val="008D5C72"/>
    <w:rsid w:val="008D656A"/>
    <w:rsid w:val="008E4696"/>
    <w:rsid w:val="008E4F9A"/>
    <w:rsid w:val="008F5047"/>
    <w:rsid w:val="00917E33"/>
    <w:rsid w:val="00926D25"/>
    <w:rsid w:val="00930C21"/>
    <w:rsid w:val="00930C45"/>
    <w:rsid w:val="0093579E"/>
    <w:rsid w:val="00936985"/>
    <w:rsid w:val="00941255"/>
    <w:rsid w:val="00944326"/>
    <w:rsid w:val="00946DD2"/>
    <w:rsid w:val="00947EA8"/>
    <w:rsid w:val="009636ED"/>
    <w:rsid w:val="00965B6A"/>
    <w:rsid w:val="00976F52"/>
    <w:rsid w:val="00977D60"/>
    <w:rsid w:val="009801BC"/>
    <w:rsid w:val="00981CD7"/>
    <w:rsid w:val="009847D6"/>
    <w:rsid w:val="00986BAD"/>
    <w:rsid w:val="00987FC6"/>
    <w:rsid w:val="009913EA"/>
    <w:rsid w:val="0099313E"/>
    <w:rsid w:val="00996617"/>
    <w:rsid w:val="009A695E"/>
    <w:rsid w:val="009D1FC0"/>
    <w:rsid w:val="009E4161"/>
    <w:rsid w:val="009F1ED0"/>
    <w:rsid w:val="00A0108A"/>
    <w:rsid w:val="00A02CB0"/>
    <w:rsid w:val="00A15EC6"/>
    <w:rsid w:val="00A178BD"/>
    <w:rsid w:val="00A258C5"/>
    <w:rsid w:val="00A35842"/>
    <w:rsid w:val="00A42DF1"/>
    <w:rsid w:val="00A44372"/>
    <w:rsid w:val="00A51399"/>
    <w:rsid w:val="00A540D0"/>
    <w:rsid w:val="00A56A27"/>
    <w:rsid w:val="00A70118"/>
    <w:rsid w:val="00A747F1"/>
    <w:rsid w:val="00A76E9E"/>
    <w:rsid w:val="00A76EB4"/>
    <w:rsid w:val="00A97477"/>
    <w:rsid w:val="00AA236D"/>
    <w:rsid w:val="00AE2E5D"/>
    <w:rsid w:val="00AE335F"/>
    <w:rsid w:val="00AE3DB7"/>
    <w:rsid w:val="00AF0453"/>
    <w:rsid w:val="00AF60D4"/>
    <w:rsid w:val="00AF71C5"/>
    <w:rsid w:val="00B15FDE"/>
    <w:rsid w:val="00B23E7C"/>
    <w:rsid w:val="00B250A4"/>
    <w:rsid w:val="00B25D9F"/>
    <w:rsid w:val="00B26829"/>
    <w:rsid w:val="00B35018"/>
    <w:rsid w:val="00B57A76"/>
    <w:rsid w:val="00B63DE1"/>
    <w:rsid w:val="00B72321"/>
    <w:rsid w:val="00B8791F"/>
    <w:rsid w:val="00BA3B5D"/>
    <w:rsid w:val="00BA7570"/>
    <w:rsid w:val="00BB5C85"/>
    <w:rsid w:val="00BB67D6"/>
    <w:rsid w:val="00BB79C9"/>
    <w:rsid w:val="00BC3235"/>
    <w:rsid w:val="00BD694C"/>
    <w:rsid w:val="00BD7BC5"/>
    <w:rsid w:val="00BF7842"/>
    <w:rsid w:val="00C214C1"/>
    <w:rsid w:val="00C2572F"/>
    <w:rsid w:val="00C25D0E"/>
    <w:rsid w:val="00C31185"/>
    <w:rsid w:val="00C35E6B"/>
    <w:rsid w:val="00C420E6"/>
    <w:rsid w:val="00C54015"/>
    <w:rsid w:val="00C568C6"/>
    <w:rsid w:val="00C72ABB"/>
    <w:rsid w:val="00CA2AFC"/>
    <w:rsid w:val="00CA47DE"/>
    <w:rsid w:val="00CA4A9F"/>
    <w:rsid w:val="00CA7EB8"/>
    <w:rsid w:val="00CB2C0E"/>
    <w:rsid w:val="00CD110C"/>
    <w:rsid w:val="00CD171D"/>
    <w:rsid w:val="00D13FF9"/>
    <w:rsid w:val="00D17020"/>
    <w:rsid w:val="00D265B6"/>
    <w:rsid w:val="00D31A84"/>
    <w:rsid w:val="00D379A0"/>
    <w:rsid w:val="00D47401"/>
    <w:rsid w:val="00D62E06"/>
    <w:rsid w:val="00D76A57"/>
    <w:rsid w:val="00D82709"/>
    <w:rsid w:val="00DA3B43"/>
    <w:rsid w:val="00DA3CEE"/>
    <w:rsid w:val="00DB05BF"/>
    <w:rsid w:val="00DB0CEC"/>
    <w:rsid w:val="00DB3287"/>
    <w:rsid w:val="00DB7206"/>
    <w:rsid w:val="00DB7C8B"/>
    <w:rsid w:val="00DD1124"/>
    <w:rsid w:val="00DD197C"/>
    <w:rsid w:val="00DD37EA"/>
    <w:rsid w:val="00DD60F0"/>
    <w:rsid w:val="00DD68BF"/>
    <w:rsid w:val="00DE13B5"/>
    <w:rsid w:val="00DE7799"/>
    <w:rsid w:val="00DF4F89"/>
    <w:rsid w:val="00E026BE"/>
    <w:rsid w:val="00E034DD"/>
    <w:rsid w:val="00E07932"/>
    <w:rsid w:val="00E13282"/>
    <w:rsid w:val="00E136F5"/>
    <w:rsid w:val="00E2414E"/>
    <w:rsid w:val="00E26501"/>
    <w:rsid w:val="00E30A13"/>
    <w:rsid w:val="00E5035A"/>
    <w:rsid w:val="00E5237C"/>
    <w:rsid w:val="00E55F3F"/>
    <w:rsid w:val="00E60F84"/>
    <w:rsid w:val="00E6678B"/>
    <w:rsid w:val="00E76580"/>
    <w:rsid w:val="00E85D68"/>
    <w:rsid w:val="00E91656"/>
    <w:rsid w:val="00E937F7"/>
    <w:rsid w:val="00E96FDD"/>
    <w:rsid w:val="00EA1326"/>
    <w:rsid w:val="00EB2D81"/>
    <w:rsid w:val="00EC32D4"/>
    <w:rsid w:val="00ED0E2A"/>
    <w:rsid w:val="00EE64DB"/>
    <w:rsid w:val="00EF46DF"/>
    <w:rsid w:val="00EF517A"/>
    <w:rsid w:val="00F0170B"/>
    <w:rsid w:val="00F063B8"/>
    <w:rsid w:val="00F12033"/>
    <w:rsid w:val="00F2047C"/>
    <w:rsid w:val="00F30366"/>
    <w:rsid w:val="00F40A5D"/>
    <w:rsid w:val="00F50881"/>
    <w:rsid w:val="00F54A9C"/>
    <w:rsid w:val="00F55695"/>
    <w:rsid w:val="00F73045"/>
    <w:rsid w:val="00F805EA"/>
    <w:rsid w:val="00F90610"/>
    <w:rsid w:val="00FB41A5"/>
    <w:rsid w:val="00FB683D"/>
    <w:rsid w:val="00FC2298"/>
    <w:rsid w:val="00FC4234"/>
    <w:rsid w:val="00FC48D5"/>
    <w:rsid w:val="00FE0622"/>
    <w:rsid w:val="00FE7F2A"/>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EB1"/>
    <w:pPr>
      <w:keepNext/>
      <w:keepLines/>
      <w:numPr>
        <w:numId w:val="4"/>
      </w:numPr>
      <w:spacing w:after="240" w:line="240" w:lineRule="auto"/>
      <w:ind w:left="720" w:hanging="720"/>
      <w:jc w:val="both"/>
      <w:outlineLvl w:val="0"/>
    </w:pPr>
    <w:rPr>
      <w:rFonts w:ascii="Georgia Bold" w:eastAsia="Times New Roman" w:hAnsi="Georgia Bold" w:cs="Times New Roman"/>
      <w:b/>
      <w:bCs/>
      <w:sz w:val="24"/>
      <w:szCs w:val="32"/>
      <w:u w:val="single"/>
    </w:rPr>
  </w:style>
  <w:style w:type="paragraph" w:styleId="Heading2">
    <w:name w:val="heading 2"/>
    <w:basedOn w:val="Normal"/>
    <w:next w:val="Normal"/>
    <w:link w:val="Heading2Char"/>
    <w:uiPriority w:val="9"/>
    <w:unhideWhenUsed/>
    <w:qFormat/>
    <w:rsid w:val="00635EB1"/>
    <w:pPr>
      <w:keepNext/>
      <w:keepLines/>
      <w:numPr>
        <w:ilvl w:val="1"/>
        <w:numId w:val="4"/>
      </w:numPr>
      <w:spacing w:after="240" w:line="240" w:lineRule="auto"/>
      <w:ind w:left="1440" w:hanging="720"/>
      <w:outlineLvl w:val="1"/>
    </w:pPr>
    <w:rPr>
      <w:rFonts w:ascii="Georgia Bold" w:eastAsia="Times New Roman" w:hAnsi="Georgia Bold" w:cs="Times New Roman"/>
      <w:b/>
      <w:bCs/>
      <w:iCs/>
      <w:sz w:val="24"/>
      <w:szCs w:val="28"/>
    </w:rPr>
  </w:style>
  <w:style w:type="paragraph" w:styleId="Heading3">
    <w:name w:val="heading 3"/>
    <w:basedOn w:val="Normal"/>
    <w:next w:val="Normal"/>
    <w:link w:val="Heading3Char"/>
    <w:uiPriority w:val="9"/>
    <w:unhideWhenUsed/>
    <w:qFormat/>
    <w:rsid w:val="00635EB1"/>
    <w:pPr>
      <w:keepNext/>
      <w:keepLines/>
      <w:numPr>
        <w:ilvl w:val="2"/>
        <w:numId w:val="4"/>
      </w:numPr>
      <w:spacing w:after="240" w:line="240" w:lineRule="auto"/>
      <w:ind w:left="2160" w:hanging="720"/>
      <w:outlineLvl w:val="2"/>
    </w:pPr>
    <w:rPr>
      <w:rFonts w:ascii="Georgia" w:eastAsia="Times New Roman" w:hAnsi="Georgia" w:cs="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405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405DB"/>
    <w:rPr>
      <w:rFonts w:ascii="Times New Roman" w:eastAsia="Times New Roman" w:hAnsi="Times New Roman" w:cs="Times New Roman"/>
      <w:sz w:val="20"/>
      <w:szCs w:val="20"/>
    </w:rPr>
  </w:style>
  <w:style w:type="character" w:styleId="FootnoteReference">
    <w:name w:val="footnote reference"/>
    <w:rsid w:val="006405DB"/>
    <w:rPr>
      <w:vertAlign w:val="superscript"/>
    </w:rPr>
  </w:style>
  <w:style w:type="paragraph" w:styleId="ListParagraph">
    <w:name w:val="List Paragraph"/>
    <w:basedOn w:val="Normal"/>
    <w:uiPriority w:val="34"/>
    <w:qFormat/>
    <w:rsid w:val="006405DB"/>
    <w:pPr>
      <w:ind w:left="720"/>
      <w:contextualSpacing/>
    </w:pPr>
  </w:style>
  <w:style w:type="paragraph" w:styleId="Header">
    <w:name w:val="header"/>
    <w:basedOn w:val="Normal"/>
    <w:link w:val="HeaderChar"/>
    <w:uiPriority w:val="99"/>
    <w:unhideWhenUsed/>
    <w:rsid w:val="00AE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5D"/>
  </w:style>
  <w:style w:type="paragraph" w:styleId="Footer">
    <w:name w:val="footer"/>
    <w:basedOn w:val="Normal"/>
    <w:link w:val="FooterChar"/>
    <w:uiPriority w:val="99"/>
    <w:unhideWhenUsed/>
    <w:rsid w:val="00AE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5D"/>
  </w:style>
  <w:style w:type="character" w:customStyle="1" w:styleId="Heading1Char">
    <w:name w:val="Heading 1 Char"/>
    <w:basedOn w:val="DefaultParagraphFont"/>
    <w:link w:val="Heading1"/>
    <w:uiPriority w:val="9"/>
    <w:rsid w:val="00635EB1"/>
    <w:rPr>
      <w:rFonts w:ascii="Georgia Bold" w:eastAsia="Times New Roman" w:hAnsi="Georgia Bold" w:cs="Times New Roman"/>
      <w:b/>
      <w:bCs/>
      <w:sz w:val="24"/>
      <w:szCs w:val="32"/>
      <w:u w:val="single"/>
    </w:rPr>
  </w:style>
  <w:style w:type="character" w:customStyle="1" w:styleId="Heading2Char">
    <w:name w:val="Heading 2 Char"/>
    <w:basedOn w:val="DefaultParagraphFont"/>
    <w:link w:val="Heading2"/>
    <w:uiPriority w:val="9"/>
    <w:rsid w:val="00635EB1"/>
    <w:rPr>
      <w:rFonts w:ascii="Georgia Bold" w:eastAsia="Times New Roman" w:hAnsi="Georgia Bold" w:cs="Times New Roman"/>
      <w:b/>
      <w:bCs/>
      <w:iCs/>
      <w:sz w:val="24"/>
      <w:szCs w:val="28"/>
    </w:rPr>
  </w:style>
  <w:style w:type="character" w:customStyle="1" w:styleId="Heading3Char">
    <w:name w:val="Heading 3 Char"/>
    <w:basedOn w:val="DefaultParagraphFont"/>
    <w:link w:val="Heading3"/>
    <w:uiPriority w:val="9"/>
    <w:rsid w:val="00635EB1"/>
    <w:rPr>
      <w:rFonts w:ascii="Georgia" w:eastAsia="Times New Roman" w:hAnsi="Georgia" w:cs="Times New Roman"/>
      <w:bCs/>
      <w:i/>
      <w:sz w:val="24"/>
      <w:szCs w:val="26"/>
    </w:rPr>
  </w:style>
  <w:style w:type="paragraph" w:styleId="BalloonText">
    <w:name w:val="Balloon Text"/>
    <w:basedOn w:val="Normal"/>
    <w:link w:val="BalloonTextChar"/>
    <w:uiPriority w:val="99"/>
    <w:semiHidden/>
    <w:unhideWhenUsed/>
    <w:rsid w:val="0011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EB1"/>
    <w:pPr>
      <w:keepNext/>
      <w:keepLines/>
      <w:numPr>
        <w:numId w:val="4"/>
      </w:numPr>
      <w:spacing w:after="240" w:line="240" w:lineRule="auto"/>
      <w:ind w:left="720" w:hanging="720"/>
      <w:jc w:val="both"/>
      <w:outlineLvl w:val="0"/>
    </w:pPr>
    <w:rPr>
      <w:rFonts w:ascii="Georgia Bold" w:eastAsia="Times New Roman" w:hAnsi="Georgia Bold" w:cs="Times New Roman"/>
      <w:b/>
      <w:bCs/>
      <w:sz w:val="24"/>
      <w:szCs w:val="32"/>
      <w:u w:val="single"/>
    </w:rPr>
  </w:style>
  <w:style w:type="paragraph" w:styleId="Heading2">
    <w:name w:val="heading 2"/>
    <w:basedOn w:val="Normal"/>
    <w:next w:val="Normal"/>
    <w:link w:val="Heading2Char"/>
    <w:uiPriority w:val="9"/>
    <w:unhideWhenUsed/>
    <w:qFormat/>
    <w:rsid w:val="00635EB1"/>
    <w:pPr>
      <w:keepNext/>
      <w:keepLines/>
      <w:numPr>
        <w:ilvl w:val="1"/>
        <w:numId w:val="4"/>
      </w:numPr>
      <w:spacing w:after="240" w:line="240" w:lineRule="auto"/>
      <w:ind w:left="1440" w:hanging="720"/>
      <w:outlineLvl w:val="1"/>
    </w:pPr>
    <w:rPr>
      <w:rFonts w:ascii="Georgia Bold" w:eastAsia="Times New Roman" w:hAnsi="Georgia Bold" w:cs="Times New Roman"/>
      <w:b/>
      <w:bCs/>
      <w:iCs/>
      <w:sz w:val="24"/>
      <w:szCs w:val="28"/>
    </w:rPr>
  </w:style>
  <w:style w:type="paragraph" w:styleId="Heading3">
    <w:name w:val="heading 3"/>
    <w:basedOn w:val="Normal"/>
    <w:next w:val="Normal"/>
    <w:link w:val="Heading3Char"/>
    <w:uiPriority w:val="9"/>
    <w:unhideWhenUsed/>
    <w:qFormat/>
    <w:rsid w:val="00635EB1"/>
    <w:pPr>
      <w:keepNext/>
      <w:keepLines/>
      <w:numPr>
        <w:ilvl w:val="2"/>
        <w:numId w:val="4"/>
      </w:numPr>
      <w:spacing w:after="240" w:line="240" w:lineRule="auto"/>
      <w:ind w:left="2160" w:hanging="720"/>
      <w:outlineLvl w:val="2"/>
    </w:pPr>
    <w:rPr>
      <w:rFonts w:ascii="Georgia" w:eastAsia="Times New Roman" w:hAnsi="Georgia" w:cs="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405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405DB"/>
    <w:rPr>
      <w:rFonts w:ascii="Times New Roman" w:eastAsia="Times New Roman" w:hAnsi="Times New Roman" w:cs="Times New Roman"/>
      <w:sz w:val="20"/>
      <w:szCs w:val="20"/>
    </w:rPr>
  </w:style>
  <w:style w:type="character" w:styleId="FootnoteReference">
    <w:name w:val="footnote reference"/>
    <w:rsid w:val="006405DB"/>
    <w:rPr>
      <w:vertAlign w:val="superscript"/>
    </w:rPr>
  </w:style>
  <w:style w:type="paragraph" w:styleId="ListParagraph">
    <w:name w:val="List Paragraph"/>
    <w:basedOn w:val="Normal"/>
    <w:uiPriority w:val="34"/>
    <w:qFormat/>
    <w:rsid w:val="006405DB"/>
    <w:pPr>
      <w:ind w:left="720"/>
      <w:contextualSpacing/>
    </w:pPr>
  </w:style>
  <w:style w:type="paragraph" w:styleId="Header">
    <w:name w:val="header"/>
    <w:basedOn w:val="Normal"/>
    <w:link w:val="HeaderChar"/>
    <w:uiPriority w:val="99"/>
    <w:unhideWhenUsed/>
    <w:rsid w:val="00AE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5D"/>
  </w:style>
  <w:style w:type="paragraph" w:styleId="Footer">
    <w:name w:val="footer"/>
    <w:basedOn w:val="Normal"/>
    <w:link w:val="FooterChar"/>
    <w:uiPriority w:val="99"/>
    <w:unhideWhenUsed/>
    <w:rsid w:val="00AE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5D"/>
  </w:style>
  <w:style w:type="character" w:customStyle="1" w:styleId="Heading1Char">
    <w:name w:val="Heading 1 Char"/>
    <w:basedOn w:val="DefaultParagraphFont"/>
    <w:link w:val="Heading1"/>
    <w:uiPriority w:val="9"/>
    <w:rsid w:val="00635EB1"/>
    <w:rPr>
      <w:rFonts w:ascii="Georgia Bold" w:eastAsia="Times New Roman" w:hAnsi="Georgia Bold" w:cs="Times New Roman"/>
      <w:b/>
      <w:bCs/>
      <w:sz w:val="24"/>
      <w:szCs w:val="32"/>
      <w:u w:val="single"/>
    </w:rPr>
  </w:style>
  <w:style w:type="character" w:customStyle="1" w:styleId="Heading2Char">
    <w:name w:val="Heading 2 Char"/>
    <w:basedOn w:val="DefaultParagraphFont"/>
    <w:link w:val="Heading2"/>
    <w:uiPriority w:val="9"/>
    <w:rsid w:val="00635EB1"/>
    <w:rPr>
      <w:rFonts w:ascii="Georgia Bold" w:eastAsia="Times New Roman" w:hAnsi="Georgia Bold" w:cs="Times New Roman"/>
      <w:b/>
      <w:bCs/>
      <w:iCs/>
      <w:sz w:val="24"/>
      <w:szCs w:val="28"/>
    </w:rPr>
  </w:style>
  <w:style w:type="character" w:customStyle="1" w:styleId="Heading3Char">
    <w:name w:val="Heading 3 Char"/>
    <w:basedOn w:val="DefaultParagraphFont"/>
    <w:link w:val="Heading3"/>
    <w:uiPriority w:val="9"/>
    <w:rsid w:val="00635EB1"/>
    <w:rPr>
      <w:rFonts w:ascii="Georgia" w:eastAsia="Times New Roman" w:hAnsi="Georgia" w:cs="Times New Roman"/>
      <w:bCs/>
      <w:i/>
      <w:sz w:val="24"/>
      <w:szCs w:val="26"/>
    </w:rPr>
  </w:style>
  <w:style w:type="paragraph" w:styleId="BalloonText">
    <w:name w:val="Balloon Text"/>
    <w:basedOn w:val="Normal"/>
    <w:link w:val="BalloonTextChar"/>
    <w:uiPriority w:val="99"/>
    <w:semiHidden/>
    <w:unhideWhenUsed/>
    <w:rsid w:val="0011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40E0-7D2F-48E5-AAF2-A5C15D97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7271</Words>
  <Characters>38069</Characters>
  <Application>Microsoft Office Word</Application>
  <DocSecurity>0</DocSecurity>
  <PresentationFormat/>
  <Lines>549</Lines>
  <Paragraphs>102</Paragraphs>
  <ScaleCrop>false</ScaleCrop>
  <HeadingPairs>
    <vt:vector size="2" baseType="variant">
      <vt:variant>
        <vt:lpstr>Title</vt:lpstr>
      </vt:variant>
      <vt:variant>
        <vt:i4>1</vt:i4>
      </vt:variant>
    </vt:vector>
  </HeadingPairs>
  <TitlesOfParts>
    <vt:vector size="1" baseType="lpstr">
      <vt:lpstr>REVISED - Commercial Purchase/Sale Disputes (00326136).DOCX</vt:lpstr>
    </vt:vector>
  </TitlesOfParts>
  <Company/>
  <LinksUpToDate>false</LinksUpToDate>
  <CharactersWithSpaces>45538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Commercial Purchase/Sale Disputes (00326136).DOCX</dc:title>
  <dc:subject>00326136.DOCX / /Font=8</dc:subject>
  <dc:creator>Lindsay Reese</dc:creator>
  <cp:keywords/>
  <dc:description/>
  <cp:lastModifiedBy>Steve Parham</cp:lastModifiedBy>
  <cp:revision>4</cp:revision>
  <cp:lastPrinted>2016-05-24T15:05:00Z</cp:lastPrinted>
  <dcterms:created xsi:type="dcterms:W3CDTF">2016-05-24T15:04:00Z</dcterms:created>
  <dcterms:modified xsi:type="dcterms:W3CDTF">2016-05-24T15:09:00Z</dcterms:modified>
</cp:coreProperties>
</file>