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50" w:rsidRPr="00762CFC" w:rsidRDefault="006C49E4" w:rsidP="002B3299">
      <w:pPr>
        <w:spacing w:after="0" w:line="360" w:lineRule="auto"/>
        <w:jc w:val="center"/>
        <w:rPr>
          <w:rFonts w:ascii="Times New Roman" w:eastAsia="Times New Roman" w:hAnsi="Times New Roman" w:cs="Times New Roman"/>
          <w:b/>
          <w:caps/>
          <w:sz w:val="24"/>
          <w:szCs w:val="24"/>
          <w:u w:val="single"/>
        </w:rPr>
      </w:pPr>
      <w:r w:rsidRPr="00762CFC">
        <w:rPr>
          <w:rFonts w:ascii="Times New Roman" w:eastAsia="Times New Roman" w:hAnsi="Times New Roman" w:cs="Times New Roman"/>
          <w:b/>
          <w:caps/>
          <w:sz w:val="24"/>
          <w:szCs w:val="24"/>
          <w:u w:val="single"/>
        </w:rPr>
        <w:t>Georgia Quiet Title Law: Overview and Update</w:t>
      </w:r>
    </w:p>
    <w:p w:rsidR="00EF58BA" w:rsidRPr="00762CFC" w:rsidRDefault="00EF58BA" w:rsidP="002B3299">
      <w:pPr>
        <w:spacing w:after="0" w:line="360" w:lineRule="auto"/>
        <w:jc w:val="center"/>
        <w:rPr>
          <w:rFonts w:ascii="Times New Roman" w:eastAsia="Times New Roman" w:hAnsi="Times New Roman" w:cs="Times New Roman"/>
          <w:smallCaps/>
          <w:sz w:val="24"/>
          <w:szCs w:val="24"/>
        </w:rPr>
      </w:pPr>
      <w:r w:rsidRPr="00762CFC">
        <w:rPr>
          <w:rFonts w:ascii="Times New Roman" w:eastAsia="Times New Roman" w:hAnsi="Times New Roman" w:cs="Times New Roman"/>
          <w:smallCaps/>
          <w:sz w:val="24"/>
          <w:szCs w:val="24"/>
        </w:rPr>
        <w:t>Stephen M. Parham – Bloom Sugarman, LLP</w:t>
      </w:r>
    </w:p>
    <w:p w:rsidR="00C20FE1" w:rsidRDefault="00C20FE1" w:rsidP="002B3299">
      <w:pPr>
        <w:spacing w:after="0" w:line="360" w:lineRule="auto"/>
        <w:rPr>
          <w:rFonts w:ascii="Times New Roman" w:eastAsia="Times New Roman" w:hAnsi="Times New Roman" w:cs="Times New Roman"/>
          <w:b/>
          <w:sz w:val="24"/>
          <w:szCs w:val="24"/>
        </w:rPr>
      </w:pPr>
    </w:p>
    <w:p w:rsidR="00DD1C9E" w:rsidRPr="00762CFC" w:rsidRDefault="00497301" w:rsidP="002B3299">
      <w:pPr>
        <w:spacing w:after="0" w:line="360" w:lineRule="auto"/>
        <w:rPr>
          <w:rFonts w:ascii="Times New Roman" w:eastAsia="Times New Roman" w:hAnsi="Times New Roman" w:cs="Times New Roman"/>
          <w:b/>
          <w:sz w:val="24"/>
          <w:szCs w:val="24"/>
        </w:rPr>
      </w:pPr>
      <w:r w:rsidRPr="00762CFC">
        <w:rPr>
          <w:rFonts w:ascii="Times New Roman" w:eastAsia="Times New Roman" w:hAnsi="Times New Roman" w:cs="Times New Roman"/>
          <w:b/>
          <w:sz w:val="24"/>
          <w:szCs w:val="24"/>
        </w:rPr>
        <w:t>I.</w:t>
      </w:r>
      <w:r w:rsidRPr="00762CFC">
        <w:rPr>
          <w:rFonts w:ascii="Times New Roman" w:eastAsia="Times New Roman" w:hAnsi="Times New Roman" w:cs="Times New Roman"/>
          <w:b/>
          <w:sz w:val="24"/>
          <w:szCs w:val="24"/>
        </w:rPr>
        <w:tab/>
      </w:r>
      <w:r w:rsidR="00DD1C9E" w:rsidRPr="00762CFC">
        <w:rPr>
          <w:rFonts w:ascii="Times New Roman" w:eastAsia="Times New Roman" w:hAnsi="Times New Roman" w:cs="Times New Roman"/>
          <w:b/>
          <w:sz w:val="24"/>
          <w:szCs w:val="24"/>
        </w:rPr>
        <w:t>O</w:t>
      </w:r>
      <w:r w:rsidR="00182554" w:rsidRPr="00762CFC">
        <w:rPr>
          <w:rFonts w:ascii="Times New Roman" w:eastAsia="Times New Roman" w:hAnsi="Times New Roman" w:cs="Times New Roman"/>
          <w:b/>
          <w:sz w:val="24"/>
          <w:szCs w:val="24"/>
        </w:rPr>
        <w:t>VERVIEW OF QUIET TITLE ACTIONS</w:t>
      </w:r>
    </w:p>
    <w:p w:rsidR="00497301" w:rsidRPr="00762CFC" w:rsidRDefault="00497301" w:rsidP="002B3299">
      <w:pPr>
        <w:spacing w:after="0" w:line="360" w:lineRule="auto"/>
        <w:ind w:firstLine="720"/>
        <w:jc w:val="both"/>
        <w:rPr>
          <w:rFonts w:ascii="Times New Roman" w:hAnsi="Times New Roman" w:cs="Times New Roman"/>
          <w:b/>
          <w:color w:val="000000"/>
          <w:sz w:val="24"/>
          <w:szCs w:val="24"/>
        </w:rPr>
      </w:pPr>
      <w:r w:rsidRPr="00762CFC">
        <w:rPr>
          <w:rFonts w:ascii="Times New Roman" w:hAnsi="Times New Roman" w:cs="Times New Roman"/>
          <w:b/>
          <w:color w:val="000000"/>
          <w:sz w:val="24"/>
          <w:szCs w:val="24"/>
        </w:rPr>
        <w:t>A.</w:t>
      </w:r>
      <w:r w:rsidRPr="00762CFC">
        <w:rPr>
          <w:rFonts w:ascii="Times New Roman" w:hAnsi="Times New Roman" w:cs="Times New Roman"/>
          <w:b/>
          <w:color w:val="000000"/>
          <w:sz w:val="24"/>
          <w:szCs w:val="24"/>
        </w:rPr>
        <w:tab/>
        <w:t>What is a “Quiet Title” Action?</w:t>
      </w:r>
    </w:p>
    <w:p w:rsidR="00497301" w:rsidRPr="00762CFC" w:rsidRDefault="00497301" w:rsidP="002B3299">
      <w:pPr>
        <w:pStyle w:val="NormalWeb"/>
        <w:spacing w:before="0" w:beforeAutospacing="0" w:after="0" w:afterAutospacing="0" w:line="360" w:lineRule="auto"/>
        <w:ind w:firstLine="720"/>
        <w:jc w:val="both"/>
        <w:rPr>
          <w:lang w:val="en"/>
        </w:rPr>
      </w:pPr>
      <w:r w:rsidRPr="00762CFC">
        <w:rPr>
          <w:lang w:val="en"/>
        </w:rPr>
        <w:t>Quieting title is a legal procedure to establish an individual’s right to ownership of real property against one or more adverse claimants.   A quiet title action also is called a suit to remove a cloud in title.  A cloud is any claim or potential claim to ownership of the property. The cloud can be a claim of full ownership of the property or a claim of partial ownership, such as a lien in an amount that does not exceed the value of the property or an easement that purports to give the respondent the right to use the property in some fashion.  Said differently, a title to real property is clouded if the plaintiff, as the buyer or recipient of real property, might have to defend his/her full ownership of the property in court against some party in the future. A landowner may bring a quiet title action regardless of whether the respondent is asserting a present right to gain possession of the premises.</w:t>
      </w:r>
    </w:p>
    <w:p w:rsidR="00497301" w:rsidRPr="00762CFC" w:rsidRDefault="00497301" w:rsidP="002B3299">
      <w:pPr>
        <w:pStyle w:val="NormalWeb"/>
        <w:spacing w:before="0" w:beforeAutospacing="0" w:after="0" w:afterAutospacing="0" w:line="360" w:lineRule="auto"/>
        <w:ind w:firstLine="720"/>
        <w:jc w:val="both"/>
        <w:rPr>
          <w:lang w:val="en"/>
        </w:rPr>
      </w:pPr>
      <w:r w:rsidRPr="00762CFC">
        <w:rPr>
          <w:lang w:val="en"/>
        </w:rPr>
        <w:t>Such an action can be a “quasi-in-rem” proceeding (against one or more specific individuals) or a true “in rem” proceeding (against the whole world, claimants known and unknown).  In effect, a “quiet title” action is a form of declaratory judgment in which the Court is declaring the rights of the parties in respect to the property in question.</w:t>
      </w:r>
      <w:r w:rsidRPr="00762CFC">
        <w:rPr>
          <w:rStyle w:val="FootnoteReference"/>
          <w:lang w:val="en"/>
        </w:rPr>
        <w:footnoteReference w:id="1"/>
      </w:r>
      <w:r w:rsidRPr="00762CFC">
        <w:rPr>
          <w:lang w:val="en"/>
        </w:rPr>
        <w:t xml:space="preserve">  In Georgia, those types of actions are respectively also called Equitable Quiet Title and Statutory Quiet Title.</w:t>
      </w:r>
    </w:p>
    <w:p w:rsidR="00497301" w:rsidRPr="00762CFC" w:rsidRDefault="00497301" w:rsidP="002B3299">
      <w:pPr>
        <w:numPr>
          <w:ilvl w:val="0"/>
          <w:numId w:val="5"/>
        </w:numPr>
        <w:spacing w:after="0" w:line="360" w:lineRule="auto"/>
        <w:jc w:val="both"/>
        <w:rPr>
          <w:rFonts w:ascii="Times New Roman" w:hAnsi="Times New Roman" w:cs="Times New Roman"/>
          <w:sz w:val="24"/>
          <w:szCs w:val="24"/>
        </w:rPr>
      </w:pPr>
      <w:r w:rsidRPr="00762CFC">
        <w:rPr>
          <w:rFonts w:ascii="Times New Roman" w:hAnsi="Times New Roman" w:cs="Times New Roman"/>
          <w:b/>
          <w:sz w:val="24"/>
          <w:szCs w:val="24"/>
        </w:rPr>
        <w:t>Equitable Quiet Title.</w:t>
      </w:r>
      <w:r w:rsidRPr="00762CFC">
        <w:rPr>
          <w:rFonts w:ascii="Times New Roman" w:hAnsi="Times New Roman" w:cs="Times New Roman"/>
          <w:sz w:val="24"/>
          <w:szCs w:val="24"/>
        </w:rPr>
        <w:t xml:space="preserve">  </w:t>
      </w:r>
    </w:p>
    <w:p w:rsidR="00497301" w:rsidRPr="00762CFC" w:rsidRDefault="00497301" w:rsidP="002B3299">
      <w:pPr>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In an equitable quiet title action in Georgia, a court may cause to be delivered up and cancel any instrument which casts a cloud over the complainant’s title.</w:t>
      </w:r>
      <w:r w:rsidRPr="00762CFC">
        <w:rPr>
          <w:rStyle w:val="FootnoteReference"/>
          <w:rFonts w:ascii="Times New Roman" w:hAnsi="Times New Roman" w:cs="Times New Roman"/>
          <w:sz w:val="24"/>
          <w:szCs w:val="24"/>
        </w:rPr>
        <w:footnoteReference w:id="2"/>
      </w:r>
      <w:r w:rsidRPr="00762CFC">
        <w:rPr>
          <w:rFonts w:ascii="Times New Roman" w:hAnsi="Times New Roman" w:cs="Times New Roman"/>
          <w:sz w:val="24"/>
          <w:szCs w:val="24"/>
        </w:rPr>
        <w:t xml:space="preserve">  This action is commonly known as a conventional proceeding </w:t>
      </w:r>
      <w:r w:rsidRPr="00762CFC">
        <w:rPr>
          <w:rFonts w:ascii="Times New Roman" w:hAnsi="Times New Roman" w:cs="Times New Roman"/>
          <w:i/>
          <w:sz w:val="24"/>
          <w:szCs w:val="24"/>
        </w:rPr>
        <w:t>quia</w:t>
      </w:r>
      <w:r w:rsidRPr="00762CFC">
        <w:rPr>
          <w:rFonts w:ascii="Times New Roman" w:hAnsi="Times New Roman" w:cs="Times New Roman"/>
          <w:sz w:val="24"/>
          <w:szCs w:val="24"/>
        </w:rPr>
        <w:t xml:space="preserve"> </w:t>
      </w:r>
      <w:r w:rsidRPr="00762CFC">
        <w:rPr>
          <w:rFonts w:ascii="Times New Roman" w:hAnsi="Times New Roman" w:cs="Times New Roman"/>
          <w:i/>
          <w:sz w:val="24"/>
          <w:szCs w:val="24"/>
        </w:rPr>
        <w:t>timet</w:t>
      </w:r>
      <w:r w:rsidRPr="00762CFC">
        <w:rPr>
          <w:rFonts w:ascii="Times New Roman" w:hAnsi="Times New Roman" w:cs="Times New Roman"/>
          <w:sz w:val="24"/>
          <w:szCs w:val="24"/>
        </w:rPr>
        <w:t>. A cloud is an instrument that may give a claimant an apparent right to the property of the current possessor, such as an invalid deed or an obscured boundary line.</w:t>
      </w:r>
      <w:r w:rsidRPr="00762CFC">
        <w:rPr>
          <w:rStyle w:val="FootnoteReference"/>
          <w:rFonts w:ascii="Times New Roman" w:hAnsi="Times New Roman" w:cs="Times New Roman"/>
          <w:sz w:val="24"/>
          <w:szCs w:val="24"/>
        </w:rPr>
        <w:footnoteReference w:id="3"/>
      </w:r>
      <w:r w:rsidRPr="00762CFC">
        <w:rPr>
          <w:rFonts w:ascii="Times New Roman" w:hAnsi="Times New Roman" w:cs="Times New Roman"/>
          <w:sz w:val="24"/>
          <w:szCs w:val="24"/>
        </w:rPr>
        <w:t xml:space="preserve">  When an action is brought challenging an identified cloud, the court determines the validity of the outstanding claim and issues a decree.  The relief sought will be granted where the invalidity of the specific instrument sought to be canceled appears on its </w:t>
      </w:r>
      <w:r w:rsidRPr="00762CFC">
        <w:rPr>
          <w:rFonts w:ascii="Times New Roman" w:hAnsi="Times New Roman" w:cs="Times New Roman"/>
          <w:sz w:val="24"/>
          <w:szCs w:val="24"/>
        </w:rPr>
        <w:lastRenderedPageBreak/>
        <w:t>face or is revealed through outside facts.</w:t>
      </w:r>
      <w:r w:rsidRPr="00762CFC">
        <w:rPr>
          <w:rStyle w:val="FootnoteReference"/>
          <w:rFonts w:ascii="Times New Roman" w:hAnsi="Times New Roman" w:cs="Times New Roman"/>
          <w:sz w:val="24"/>
          <w:szCs w:val="24"/>
        </w:rPr>
        <w:footnoteReference w:id="4"/>
      </w:r>
      <w:r w:rsidRPr="00762CFC">
        <w:rPr>
          <w:rFonts w:ascii="Times New Roman" w:hAnsi="Times New Roman" w:cs="Times New Roman"/>
          <w:sz w:val="24"/>
          <w:szCs w:val="24"/>
        </w:rPr>
        <w:t xml:space="preserve">  In granting the relief, the court may cancel instruments, construe them to avoid conflicts, grant injunctions, or use other available equitable power.</w:t>
      </w:r>
      <w:r w:rsidRPr="00762CFC">
        <w:rPr>
          <w:rStyle w:val="FootnoteReference"/>
          <w:rFonts w:ascii="Times New Roman" w:hAnsi="Times New Roman" w:cs="Times New Roman"/>
          <w:sz w:val="24"/>
          <w:szCs w:val="24"/>
        </w:rPr>
        <w:footnoteReference w:id="5"/>
      </w:r>
      <w:r w:rsidRPr="00762CFC">
        <w:rPr>
          <w:rFonts w:ascii="Times New Roman" w:hAnsi="Times New Roman" w:cs="Times New Roman"/>
          <w:sz w:val="24"/>
          <w:szCs w:val="24"/>
        </w:rPr>
        <w:t xml:space="preserve">  This malleability of remedies is an advantage not found in the statutory proceeding.  Generally, a party must be in possession of the property in order to assert an equitable claim to quiet title.</w:t>
      </w:r>
      <w:r w:rsidRPr="00762CFC">
        <w:rPr>
          <w:rStyle w:val="FootnoteReference"/>
          <w:rFonts w:ascii="Times New Roman" w:hAnsi="Times New Roman" w:cs="Times New Roman"/>
          <w:sz w:val="24"/>
          <w:szCs w:val="24"/>
        </w:rPr>
        <w:footnoteReference w:id="6"/>
      </w:r>
      <w:r w:rsidRPr="00762CFC">
        <w:rPr>
          <w:rFonts w:ascii="Times New Roman" w:hAnsi="Times New Roman" w:cs="Times New Roman"/>
          <w:sz w:val="24"/>
          <w:szCs w:val="24"/>
        </w:rPr>
        <w:t xml:space="preserve">  In addition, a party must assert either current record title or current prescriptive title.</w:t>
      </w:r>
      <w:r w:rsidRPr="00762CFC">
        <w:rPr>
          <w:rStyle w:val="FootnoteReference"/>
          <w:rFonts w:ascii="Times New Roman" w:hAnsi="Times New Roman" w:cs="Times New Roman"/>
          <w:sz w:val="24"/>
          <w:szCs w:val="24"/>
        </w:rPr>
        <w:footnoteReference w:id="7"/>
      </w:r>
      <w:r w:rsidRPr="00762CFC">
        <w:rPr>
          <w:rFonts w:ascii="Times New Roman" w:hAnsi="Times New Roman" w:cs="Times New Roman"/>
          <w:sz w:val="24"/>
          <w:szCs w:val="24"/>
        </w:rPr>
        <w:t xml:space="preserve">  However, there are some exceptions to this possession requirement such as when dealing with wild and unoccupied lands or in cases where there is another distinct head of equity jurisdiction sufficient to support the action.</w:t>
      </w:r>
      <w:r w:rsidRPr="00762CFC">
        <w:rPr>
          <w:rStyle w:val="FootnoteReference"/>
          <w:rFonts w:ascii="Times New Roman" w:hAnsi="Times New Roman" w:cs="Times New Roman"/>
          <w:sz w:val="24"/>
          <w:szCs w:val="24"/>
        </w:rPr>
        <w:footnoteReference w:id="8"/>
      </w:r>
      <w:r w:rsidRPr="00762CFC">
        <w:rPr>
          <w:rFonts w:ascii="Times New Roman" w:hAnsi="Times New Roman" w:cs="Times New Roman"/>
          <w:sz w:val="24"/>
          <w:szCs w:val="24"/>
        </w:rPr>
        <w:t xml:space="preserve"> </w:t>
      </w:r>
    </w:p>
    <w:p w:rsidR="00497301" w:rsidRPr="00762CFC" w:rsidRDefault="00497301" w:rsidP="002B3299">
      <w:pPr>
        <w:pStyle w:val="NormalWeb"/>
        <w:numPr>
          <w:ilvl w:val="0"/>
          <w:numId w:val="5"/>
        </w:numPr>
        <w:spacing w:before="0" w:beforeAutospacing="0" w:after="0" w:afterAutospacing="0" w:line="360" w:lineRule="auto"/>
        <w:jc w:val="both"/>
        <w:rPr>
          <w:b/>
        </w:rPr>
      </w:pPr>
      <w:r w:rsidRPr="00762CFC">
        <w:rPr>
          <w:b/>
        </w:rPr>
        <w:t xml:space="preserve">Statutory Quiet Title.  </w:t>
      </w:r>
    </w:p>
    <w:p w:rsidR="00DD1C9E" w:rsidRPr="00762CFC" w:rsidRDefault="00497301" w:rsidP="002B3299">
      <w:pPr>
        <w:spacing w:after="0" w:line="360" w:lineRule="auto"/>
        <w:ind w:firstLine="360"/>
        <w:rPr>
          <w:rFonts w:ascii="Times New Roman" w:hAnsi="Times New Roman" w:cs="Times New Roman"/>
          <w:sz w:val="24"/>
          <w:szCs w:val="24"/>
          <w:lang w:val="en"/>
        </w:rPr>
      </w:pPr>
      <w:r w:rsidRPr="00762CFC">
        <w:rPr>
          <w:rFonts w:ascii="Times New Roman" w:hAnsi="Times New Roman" w:cs="Times New Roman"/>
          <w:sz w:val="24"/>
          <w:szCs w:val="24"/>
        </w:rPr>
        <w:t>By means of a statutory quiet title action, the Georgia legislature has provided an “efficient, speedy and effective way to adjudicate disputed title claims.”</w:t>
      </w:r>
      <w:r w:rsidRPr="00762CFC">
        <w:rPr>
          <w:rStyle w:val="FootnoteReference"/>
          <w:rFonts w:ascii="Times New Roman" w:hAnsi="Times New Roman" w:cs="Times New Roman"/>
          <w:sz w:val="24"/>
          <w:szCs w:val="24"/>
        </w:rPr>
        <w:footnoteReference w:id="9"/>
      </w:r>
      <w:r w:rsidRPr="00762CFC">
        <w:rPr>
          <w:rFonts w:ascii="Times New Roman" w:hAnsi="Times New Roman" w:cs="Times New Roman"/>
          <w:sz w:val="24"/>
          <w:szCs w:val="24"/>
        </w:rPr>
        <w:t xml:space="preserve">  Such a proceeding is often referred to as a proceeding quia timet against all the world. Unlike an equitable quiet title action, the statutory proceeding is brought against the property and all the world, thus, eliminating the difficulty of determining the identity or residence of all the possible claims.</w:t>
      </w:r>
      <w:r w:rsidRPr="00762CFC">
        <w:rPr>
          <w:rStyle w:val="FootnoteReference"/>
          <w:rFonts w:ascii="Times New Roman" w:hAnsi="Times New Roman" w:cs="Times New Roman"/>
          <w:sz w:val="24"/>
          <w:szCs w:val="24"/>
        </w:rPr>
        <w:footnoteReference w:id="10"/>
      </w:r>
      <w:r w:rsidRPr="00762CFC">
        <w:rPr>
          <w:rFonts w:ascii="Times New Roman" w:hAnsi="Times New Roman" w:cs="Times New Roman"/>
          <w:sz w:val="24"/>
          <w:szCs w:val="24"/>
        </w:rPr>
        <w:t xml:space="preserve">  Any party who claims an interest in the property may bring an action regardless of the fact that the party is not currently in possession.</w:t>
      </w:r>
      <w:r w:rsidRPr="00762CFC">
        <w:rPr>
          <w:rStyle w:val="FootnoteReference"/>
          <w:rFonts w:ascii="Times New Roman" w:hAnsi="Times New Roman" w:cs="Times New Roman"/>
          <w:sz w:val="24"/>
          <w:szCs w:val="24"/>
        </w:rPr>
        <w:footnoteReference w:id="11"/>
      </w:r>
      <w:r w:rsidRPr="00762CFC">
        <w:rPr>
          <w:rFonts w:ascii="Times New Roman" w:hAnsi="Times New Roman" w:cs="Times New Roman"/>
          <w:sz w:val="24"/>
          <w:szCs w:val="24"/>
        </w:rPr>
        <w:t xml:space="preserve">  However, a party must assert a claim of current record title or current prescriptive title as in an equity action.</w:t>
      </w:r>
      <w:r w:rsidRPr="00762CFC">
        <w:rPr>
          <w:rStyle w:val="FootnoteReference"/>
          <w:rFonts w:ascii="Times New Roman" w:hAnsi="Times New Roman" w:cs="Times New Roman"/>
          <w:sz w:val="24"/>
          <w:szCs w:val="24"/>
        </w:rPr>
        <w:footnoteReference w:id="12"/>
      </w:r>
      <w:r w:rsidRPr="00762CFC">
        <w:rPr>
          <w:rFonts w:ascii="Times New Roman" w:hAnsi="Times New Roman" w:cs="Times New Roman"/>
          <w:sz w:val="24"/>
          <w:szCs w:val="24"/>
        </w:rPr>
        <w:t xml:space="preserve">  Upon receipt of the verified petition and property plat, the court submits the information to an appointed special master who provides notice to interested parties and determines the validity of the claims.</w:t>
      </w:r>
      <w:r w:rsidRPr="00762CFC">
        <w:rPr>
          <w:rStyle w:val="FootnoteReference"/>
          <w:rFonts w:ascii="Times New Roman" w:hAnsi="Times New Roman" w:cs="Times New Roman"/>
          <w:sz w:val="24"/>
          <w:szCs w:val="24"/>
        </w:rPr>
        <w:footnoteReference w:id="13"/>
      </w:r>
      <w:r w:rsidRPr="00762CFC">
        <w:rPr>
          <w:rFonts w:ascii="Times New Roman" w:hAnsi="Times New Roman" w:cs="Times New Roman"/>
          <w:sz w:val="24"/>
          <w:szCs w:val="24"/>
        </w:rPr>
        <w:t xml:space="preserve">  Any party to the proceeding may demand a jury trial instead of a special master’s determination.</w:t>
      </w:r>
      <w:r w:rsidRPr="00762CFC">
        <w:rPr>
          <w:rStyle w:val="FootnoteReference"/>
          <w:rFonts w:ascii="Times New Roman" w:hAnsi="Times New Roman" w:cs="Times New Roman"/>
          <w:sz w:val="24"/>
          <w:szCs w:val="24"/>
        </w:rPr>
        <w:footnoteReference w:id="14"/>
      </w:r>
      <w:r w:rsidRPr="00762CFC">
        <w:rPr>
          <w:rFonts w:ascii="Times New Roman" w:hAnsi="Times New Roman" w:cs="Times New Roman"/>
          <w:sz w:val="24"/>
          <w:szCs w:val="24"/>
        </w:rPr>
        <w:t xml:space="preserve">  The court issues a decree based upon the findings of the special master or jury that quiets title and binds all parties known or unknown.</w:t>
      </w:r>
      <w:r w:rsidRPr="00762CFC">
        <w:rPr>
          <w:rStyle w:val="FootnoteReference"/>
          <w:rFonts w:ascii="Times New Roman" w:hAnsi="Times New Roman" w:cs="Times New Roman"/>
          <w:sz w:val="24"/>
          <w:szCs w:val="24"/>
        </w:rPr>
        <w:footnoteReference w:id="15"/>
      </w:r>
      <w:r w:rsidRPr="00762CFC">
        <w:rPr>
          <w:rFonts w:ascii="Times New Roman" w:hAnsi="Times New Roman" w:cs="Times New Roman"/>
          <w:sz w:val="24"/>
          <w:szCs w:val="24"/>
        </w:rPr>
        <w:t xml:space="preserve">  The statutory proceeding has the clear advantage over the equitable action due to the </w:t>
      </w:r>
      <w:r w:rsidRPr="00762CFC">
        <w:rPr>
          <w:rFonts w:ascii="Times New Roman" w:hAnsi="Times New Roman" w:cs="Times New Roman"/>
          <w:sz w:val="24"/>
          <w:szCs w:val="24"/>
        </w:rPr>
        <w:lastRenderedPageBreak/>
        <w:t>breadth of the court’s decree.  Owners, either currently in possession or not, do not have to join the specific individuals that may have outstanding claims to the property, as all outstanding claims are presumed adjudicated. However, failure to follow the specific requirements of the statute can be a bar to relief.</w:t>
      </w:r>
      <w:r w:rsidRPr="00762CFC">
        <w:rPr>
          <w:rStyle w:val="FootnoteReference"/>
          <w:rFonts w:ascii="Times New Roman" w:hAnsi="Times New Roman" w:cs="Times New Roman"/>
          <w:sz w:val="24"/>
          <w:szCs w:val="24"/>
        </w:rPr>
        <w:footnoteReference w:id="16"/>
      </w:r>
      <w:r w:rsidRPr="00762CFC">
        <w:rPr>
          <w:rFonts w:ascii="Times New Roman" w:hAnsi="Times New Roman" w:cs="Times New Roman"/>
          <w:sz w:val="24"/>
          <w:szCs w:val="24"/>
        </w:rPr>
        <w:t xml:space="preserve">  </w:t>
      </w:r>
      <w:r w:rsidRPr="00762CFC">
        <w:rPr>
          <w:rFonts w:ascii="Times New Roman" w:hAnsi="Times New Roman" w:cs="Times New Roman"/>
          <w:sz w:val="24"/>
          <w:szCs w:val="24"/>
          <w:lang w:val="en"/>
        </w:rPr>
        <w:t>An action to quiet title is a lawsuit filed to establish ownership of real property (which can be defined generally as land and the improvements affixed to that land). The plaintiff in a quiet title action seeks a court order that (a) establishes the plaintiff’s dominant title rights and/or (b) prevents the respondent(s) from making any subsequent claim to the property.</w:t>
      </w:r>
    </w:p>
    <w:p w:rsidR="00D20923" w:rsidRPr="00762CFC" w:rsidRDefault="00D20923" w:rsidP="002B3299">
      <w:pPr>
        <w:pStyle w:val="NormalWeb"/>
        <w:spacing w:before="0" w:beforeAutospacing="0" w:after="0" w:afterAutospacing="0" w:line="360" w:lineRule="auto"/>
        <w:ind w:left="360" w:firstLine="360"/>
        <w:jc w:val="both"/>
        <w:rPr>
          <w:b/>
          <w:lang w:val="en"/>
        </w:rPr>
      </w:pPr>
      <w:r w:rsidRPr="00762CFC">
        <w:rPr>
          <w:b/>
          <w:lang w:val="en"/>
        </w:rPr>
        <w:t>B.</w:t>
      </w:r>
      <w:r w:rsidRPr="00762CFC">
        <w:rPr>
          <w:b/>
          <w:lang w:val="en"/>
        </w:rPr>
        <w:tab/>
        <w:t>Statutory Versus Common Law Quiet Title Actions</w:t>
      </w:r>
    </w:p>
    <w:p w:rsidR="00D20923" w:rsidRPr="00762CFC" w:rsidRDefault="00D20923" w:rsidP="002B3299">
      <w:pPr>
        <w:pStyle w:val="NormalWeb"/>
        <w:spacing w:before="0" w:beforeAutospacing="0" w:after="0" w:afterAutospacing="0" w:line="360" w:lineRule="auto"/>
        <w:ind w:firstLine="720"/>
        <w:jc w:val="both"/>
        <w:rPr>
          <w:lang w:val="en"/>
        </w:rPr>
      </w:pPr>
      <w:r w:rsidRPr="00762CFC">
        <w:rPr>
          <w:lang w:val="en"/>
        </w:rPr>
        <w:t>The law on quiet title actions varies from state to state.  Many states have quiet title statutes.  However, other jurisdictions allow courts to fashion the law regarding quiet title actions.  Under the common law, a plaintiff must be in possession of the property to bring a quiet title action, but many state statutes do not require actual possession by the plaintiff.  In other states, possession is not relevant.  In some states, only the person who holds legal title to the real estate may file a quiet title action, but in other states anyone with sufficient interest in the property may bring a quiet title action.  Generally, a person who has sold the property does not have sufficient interest.  When a landowner owns property subject to a mortgage, the landowner may bring a quiet title action in states where the mortgagor retains title to the property.  If the mortgagee keeps the title until the mortgage is paid, the mortgagee, not the landowner, would have to bring the action.</w:t>
      </w:r>
    </w:p>
    <w:p w:rsidR="00D20923" w:rsidRPr="00762CFC" w:rsidRDefault="00D20923" w:rsidP="002B3299">
      <w:pPr>
        <w:pStyle w:val="NormalWeb"/>
        <w:spacing w:before="0" w:beforeAutospacing="0" w:after="0" w:afterAutospacing="0" w:line="360" w:lineRule="auto"/>
        <w:ind w:firstLine="720"/>
        <w:jc w:val="both"/>
        <w:rPr>
          <w:lang w:val="en"/>
        </w:rPr>
      </w:pPr>
      <w:r w:rsidRPr="00762CFC">
        <w:rPr>
          <w:lang w:val="en"/>
        </w:rPr>
        <w:t>The general rule under either approach in a quiet title action is that the plaintiff may succeed only on the strength of his own claim to the real estate, and not on the weakness of the respondent’s claim.  The plaintiff bears the burden of proving that he owns the title to the property.  A plaintiff may have less than a full fee simple ownership and still maintain an action to quiet title.  The general foundational requirement is that the plaintiff’s interest be valid while the respondent’s competing interest is not.</w:t>
      </w:r>
    </w:p>
    <w:p w:rsidR="00DD1C9E" w:rsidRPr="00762CFC" w:rsidRDefault="00DD1C9E" w:rsidP="002B3299">
      <w:pPr>
        <w:spacing w:after="0" w:line="360" w:lineRule="auto"/>
        <w:ind w:left="720" w:hanging="720"/>
        <w:rPr>
          <w:rFonts w:ascii="Times New Roman" w:hAnsi="Times New Roman" w:cs="Times New Roman"/>
          <w:b/>
          <w:caps/>
          <w:sz w:val="24"/>
          <w:szCs w:val="24"/>
        </w:rPr>
      </w:pPr>
      <w:r w:rsidRPr="00762CFC">
        <w:rPr>
          <w:rFonts w:ascii="Times New Roman" w:hAnsi="Times New Roman" w:cs="Times New Roman"/>
          <w:b/>
          <w:sz w:val="24"/>
          <w:szCs w:val="24"/>
        </w:rPr>
        <w:t xml:space="preserve">II.  </w:t>
      </w:r>
      <w:r w:rsidR="00182554" w:rsidRPr="00762CFC">
        <w:rPr>
          <w:rFonts w:ascii="Times New Roman" w:hAnsi="Times New Roman" w:cs="Times New Roman"/>
          <w:b/>
          <w:sz w:val="24"/>
          <w:szCs w:val="24"/>
        </w:rPr>
        <w:tab/>
      </w:r>
      <w:r w:rsidRPr="00762CFC">
        <w:rPr>
          <w:rFonts w:ascii="Times New Roman" w:hAnsi="Times New Roman" w:cs="Times New Roman"/>
          <w:b/>
          <w:caps/>
          <w:sz w:val="24"/>
          <w:szCs w:val="24"/>
        </w:rPr>
        <w:t>Legislative Update</w:t>
      </w:r>
    </w:p>
    <w:p w:rsidR="002D3BD1" w:rsidRPr="00762CFC" w:rsidRDefault="00CD657C" w:rsidP="002B3299">
      <w:pPr>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 xml:space="preserve">In 2016, the Georgia General Assembly did little in the way of passing substantive </w:t>
      </w:r>
      <w:r w:rsidR="00C01A2A" w:rsidRPr="00762CFC">
        <w:rPr>
          <w:rFonts w:ascii="Times New Roman" w:hAnsi="Times New Roman" w:cs="Times New Roman"/>
          <w:sz w:val="24"/>
          <w:szCs w:val="24"/>
        </w:rPr>
        <w:t>new law</w:t>
      </w:r>
      <w:r w:rsidRPr="00762CFC">
        <w:rPr>
          <w:rFonts w:ascii="Times New Roman" w:hAnsi="Times New Roman" w:cs="Times New Roman"/>
          <w:sz w:val="24"/>
          <w:szCs w:val="24"/>
        </w:rPr>
        <w:t xml:space="preserve"> regarding real property.  However, Georgia </w:t>
      </w:r>
      <w:r w:rsidR="008F253F" w:rsidRPr="00762CFC">
        <w:rPr>
          <w:rFonts w:ascii="Times New Roman" w:hAnsi="Times New Roman" w:cs="Times New Roman"/>
          <w:sz w:val="24"/>
          <w:szCs w:val="24"/>
        </w:rPr>
        <w:t xml:space="preserve">HB 1004 </w:t>
      </w:r>
      <w:r w:rsidR="00990F15" w:rsidRPr="00762CFC">
        <w:rPr>
          <w:rFonts w:ascii="Times New Roman" w:hAnsi="Times New Roman" w:cs="Times New Roman"/>
          <w:sz w:val="24"/>
          <w:szCs w:val="24"/>
        </w:rPr>
        <w:t xml:space="preserve">was passed which </w:t>
      </w:r>
      <w:r w:rsidR="008F253F" w:rsidRPr="00762CFC">
        <w:rPr>
          <w:rFonts w:ascii="Times New Roman" w:hAnsi="Times New Roman" w:cs="Times New Roman"/>
          <w:sz w:val="24"/>
          <w:szCs w:val="24"/>
        </w:rPr>
        <w:t xml:space="preserve">revises the requirements, procedures, and certifications necessary for the filing of maps, plats, and plans in </w:t>
      </w:r>
      <w:r w:rsidR="008F253F" w:rsidRPr="00762CFC">
        <w:rPr>
          <w:rFonts w:ascii="Times New Roman" w:hAnsi="Times New Roman" w:cs="Times New Roman"/>
          <w:sz w:val="24"/>
          <w:szCs w:val="24"/>
        </w:rPr>
        <w:lastRenderedPageBreak/>
        <w:t xml:space="preserve">superior court and provides for electronic recording and access to maps, plats, plans, and other real estate instruments. This Act </w:t>
      </w:r>
      <w:r w:rsidR="00990F15" w:rsidRPr="00762CFC">
        <w:rPr>
          <w:rFonts w:ascii="Times New Roman" w:hAnsi="Times New Roman" w:cs="Times New Roman"/>
          <w:sz w:val="24"/>
          <w:szCs w:val="24"/>
        </w:rPr>
        <w:t xml:space="preserve">will </w:t>
      </w:r>
      <w:r w:rsidR="008F253F" w:rsidRPr="00762CFC">
        <w:rPr>
          <w:rFonts w:ascii="Times New Roman" w:hAnsi="Times New Roman" w:cs="Times New Roman"/>
          <w:sz w:val="24"/>
          <w:szCs w:val="24"/>
        </w:rPr>
        <w:t xml:space="preserve">amend O.C.G.A. Sections 15-6-67, 15-6-68, 44-2-2, 44-2-25, 44-2-26, 44-2-27, 44-2-28, </w:t>
      </w:r>
      <w:r w:rsidR="00934477" w:rsidRPr="00762CFC">
        <w:rPr>
          <w:rFonts w:ascii="Times New Roman" w:hAnsi="Times New Roman" w:cs="Times New Roman"/>
          <w:sz w:val="24"/>
          <w:szCs w:val="24"/>
        </w:rPr>
        <w:t>44-2-237, 44-3-74, and 44-13-13 and goes into e</w:t>
      </w:r>
      <w:r w:rsidR="008F253F" w:rsidRPr="00762CFC">
        <w:rPr>
          <w:rFonts w:ascii="Times New Roman" w:hAnsi="Times New Roman" w:cs="Times New Roman"/>
          <w:sz w:val="24"/>
          <w:szCs w:val="24"/>
        </w:rPr>
        <w:t xml:space="preserve">ffect </w:t>
      </w:r>
      <w:r w:rsidR="00934477" w:rsidRPr="00762CFC">
        <w:rPr>
          <w:rFonts w:ascii="Times New Roman" w:hAnsi="Times New Roman" w:cs="Times New Roman"/>
          <w:sz w:val="24"/>
          <w:szCs w:val="24"/>
        </w:rPr>
        <w:t xml:space="preserve">on </w:t>
      </w:r>
      <w:r w:rsidR="008F253F" w:rsidRPr="00762CFC">
        <w:rPr>
          <w:rFonts w:ascii="Times New Roman" w:hAnsi="Times New Roman" w:cs="Times New Roman"/>
          <w:sz w:val="24"/>
          <w:szCs w:val="24"/>
        </w:rPr>
        <w:t xml:space="preserve">January 1, 2017. </w:t>
      </w:r>
      <w:r w:rsidR="00EA46D1" w:rsidRPr="00762CFC">
        <w:rPr>
          <w:rFonts w:ascii="Times New Roman" w:hAnsi="Times New Roman" w:cs="Times New Roman"/>
          <w:sz w:val="24"/>
          <w:szCs w:val="24"/>
        </w:rPr>
        <w:t xml:space="preserve">  </w:t>
      </w:r>
    </w:p>
    <w:p w:rsidR="00934477" w:rsidRPr="00762CFC" w:rsidRDefault="00934477" w:rsidP="002B3299">
      <w:p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ab/>
        <w:t>Although generally outside the scope of this particular seminar, if you practice in real property and deal with recording plats</w:t>
      </w:r>
      <w:r w:rsidR="00990F15" w:rsidRPr="00762CFC">
        <w:rPr>
          <w:rFonts w:ascii="Times New Roman" w:hAnsi="Times New Roman" w:cs="Times New Roman"/>
          <w:sz w:val="24"/>
          <w:szCs w:val="24"/>
        </w:rPr>
        <w:t>/maps</w:t>
      </w:r>
      <w:r w:rsidRPr="00762CFC">
        <w:rPr>
          <w:rFonts w:ascii="Times New Roman" w:hAnsi="Times New Roman" w:cs="Times New Roman"/>
          <w:sz w:val="24"/>
          <w:szCs w:val="24"/>
        </w:rPr>
        <w:t xml:space="preserve">, </w:t>
      </w:r>
      <w:r w:rsidR="005B6B21" w:rsidRPr="00762CFC">
        <w:rPr>
          <w:rFonts w:ascii="Times New Roman" w:hAnsi="Times New Roman" w:cs="Times New Roman"/>
          <w:sz w:val="24"/>
          <w:szCs w:val="24"/>
        </w:rPr>
        <w:t>th</w:t>
      </w:r>
      <w:r w:rsidR="00990F15" w:rsidRPr="00762CFC">
        <w:rPr>
          <w:rFonts w:ascii="Times New Roman" w:hAnsi="Times New Roman" w:cs="Times New Roman"/>
          <w:sz w:val="24"/>
          <w:szCs w:val="24"/>
        </w:rPr>
        <w:t>is new</w:t>
      </w:r>
      <w:r w:rsidR="005B6B21" w:rsidRPr="00762CFC">
        <w:rPr>
          <w:rFonts w:ascii="Times New Roman" w:hAnsi="Times New Roman" w:cs="Times New Roman"/>
          <w:sz w:val="24"/>
          <w:szCs w:val="24"/>
        </w:rPr>
        <w:t xml:space="preserve"> law </w:t>
      </w:r>
      <w:r w:rsidR="00990F15" w:rsidRPr="00762CFC">
        <w:rPr>
          <w:rFonts w:ascii="Times New Roman" w:hAnsi="Times New Roman" w:cs="Times New Roman"/>
          <w:sz w:val="24"/>
          <w:szCs w:val="24"/>
        </w:rPr>
        <w:t>is</w:t>
      </w:r>
      <w:r w:rsidR="005B6B21" w:rsidRPr="00762CFC">
        <w:rPr>
          <w:rFonts w:ascii="Times New Roman" w:hAnsi="Times New Roman" w:cs="Times New Roman"/>
          <w:sz w:val="24"/>
          <w:szCs w:val="24"/>
        </w:rPr>
        <w:t xml:space="preserve"> </w:t>
      </w:r>
      <w:r w:rsidRPr="00762CFC">
        <w:rPr>
          <w:rFonts w:ascii="Times New Roman" w:hAnsi="Times New Roman" w:cs="Times New Roman"/>
          <w:sz w:val="24"/>
          <w:szCs w:val="24"/>
        </w:rPr>
        <w:t xml:space="preserve">worth reviewing – and, of course, going forward, we can see how improperly recording </w:t>
      </w:r>
      <w:r w:rsidR="00990F15" w:rsidRPr="00762CFC">
        <w:rPr>
          <w:rFonts w:ascii="Times New Roman" w:hAnsi="Times New Roman" w:cs="Times New Roman"/>
          <w:sz w:val="24"/>
          <w:szCs w:val="24"/>
        </w:rPr>
        <w:t xml:space="preserve">a </w:t>
      </w:r>
      <w:r w:rsidRPr="00762CFC">
        <w:rPr>
          <w:rFonts w:ascii="Times New Roman" w:hAnsi="Times New Roman" w:cs="Times New Roman"/>
          <w:sz w:val="24"/>
          <w:szCs w:val="24"/>
        </w:rPr>
        <w:t>plat, etc. could play a role in quiet title acti</w:t>
      </w:r>
      <w:r w:rsidR="00990F15" w:rsidRPr="00762CFC">
        <w:rPr>
          <w:rFonts w:ascii="Times New Roman" w:hAnsi="Times New Roman" w:cs="Times New Roman"/>
          <w:sz w:val="24"/>
          <w:szCs w:val="24"/>
        </w:rPr>
        <w:t>o</w:t>
      </w:r>
      <w:r w:rsidRPr="00762CFC">
        <w:rPr>
          <w:rFonts w:ascii="Times New Roman" w:hAnsi="Times New Roman" w:cs="Times New Roman"/>
          <w:sz w:val="24"/>
          <w:szCs w:val="24"/>
        </w:rPr>
        <w:t>ns.</w:t>
      </w:r>
      <w:r w:rsidR="005B6B21" w:rsidRPr="00762CFC">
        <w:rPr>
          <w:rFonts w:ascii="Times New Roman" w:hAnsi="Times New Roman" w:cs="Times New Roman"/>
          <w:sz w:val="24"/>
          <w:szCs w:val="24"/>
        </w:rPr>
        <w:t xml:space="preserve">  </w:t>
      </w:r>
      <w:r w:rsidR="00990F15" w:rsidRPr="00762CFC">
        <w:rPr>
          <w:rFonts w:ascii="Times New Roman" w:hAnsi="Times New Roman" w:cs="Times New Roman"/>
          <w:sz w:val="24"/>
          <w:szCs w:val="24"/>
        </w:rPr>
        <w:t>Although not much has been written regarding the passage of this new series of laws</w:t>
      </w:r>
      <w:r w:rsidR="00C01A2A" w:rsidRPr="00762CFC">
        <w:rPr>
          <w:rFonts w:ascii="Times New Roman" w:hAnsi="Times New Roman" w:cs="Times New Roman"/>
          <w:sz w:val="24"/>
          <w:szCs w:val="24"/>
        </w:rPr>
        <w:t>, one</w:t>
      </w:r>
      <w:r w:rsidR="005B6B21" w:rsidRPr="00762CFC">
        <w:rPr>
          <w:rFonts w:ascii="Times New Roman" w:hAnsi="Times New Roman" w:cs="Times New Roman"/>
          <w:sz w:val="24"/>
          <w:szCs w:val="24"/>
        </w:rPr>
        <w:t xml:space="preserve"> of the more controversial </w:t>
      </w:r>
      <w:r w:rsidR="00F43FAD" w:rsidRPr="00762CFC">
        <w:rPr>
          <w:rFonts w:ascii="Times New Roman" w:hAnsi="Times New Roman" w:cs="Times New Roman"/>
          <w:sz w:val="24"/>
          <w:szCs w:val="24"/>
        </w:rPr>
        <w:t xml:space="preserve">provisions </w:t>
      </w:r>
      <w:r w:rsidR="00C01A2A" w:rsidRPr="00762CFC">
        <w:rPr>
          <w:rFonts w:ascii="Times New Roman" w:hAnsi="Times New Roman" w:cs="Times New Roman"/>
          <w:sz w:val="24"/>
          <w:szCs w:val="24"/>
        </w:rPr>
        <w:t>(at</w:t>
      </w:r>
      <w:r w:rsidR="00F43FAD" w:rsidRPr="00762CFC">
        <w:rPr>
          <w:rFonts w:ascii="Times New Roman" w:hAnsi="Times New Roman" w:cs="Times New Roman"/>
          <w:sz w:val="24"/>
          <w:szCs w:val="24"/>
        </w:rPr>
        <w:t xml:space="preserve"> least in the eyes of the professional surveyors of the state) is the certification requirement: </w:t>
      </w:r>
    </w:p>
    <w:p w:rsidR="00934477" w:rsidRPr="00762CFC" w:rsidRDefault="005B6B21" w:rsidP="002B3299">
      <w:pPr>
        <w:spacing w:after="0" w:line="360" w:lineRule="auto"/>
        <w:ind w:left="360"/>
        <w:jc w:val="both"/>
        <w:rPr>
          <w:rFonts w:ascii="Times New Roman" w:hAnsi="Times New Roman" w:cs="Times New Roman"/>
          <w:b/>
          <w:sz w:val="24"/>
          <w:szCs w:val="24"/>
        </w:rPr>
      </w:pPr>
      <w:r w:rsidRPr="00762CFC">
        <w:rPr>
          <w:rFonts w:ascii="Times New Roman" w:hAnsi="Times New Roman" w:cs="Times New Roman"/>
          <w:b/>
          <w:sz w:val="24"/>
          <w:szCs w:val="24"/>
        </w:rPr>
        <w:t xml:space="preserve">(New) </w:t>
      </w:r>
      <w:r w:rsidR="00934477" w:rsidRPr="00762CFC">
        <w:rPr>
          <w:rFonts w:ascii="Times New Roman" w:hAnsi="Times New Roman" w:cs="Times New Roman"/>
          <w:b/>
          <w:sz w:val="24"/>
          <w:szCs w:val="24"/>
        </w:rPr>
        <w:t>O.C.G.A. § 1567(a)</w:t>
      </w:r>
      <w:r w:rsidR="00EA46D1" w:rsidRPr="00762CFC">
        <w:rPr>
          <w:rFonts w:ascii="Times New Roman" w:hAnsi="Times New Roman" w:cs="Times New Roman"/>
          <w:b/>
          <w:sz w:val="24"/>
          <w:szCs w:val="24"/>
        </w:rPr>
        <w:t>(2)</w:t>
      </w:r>
      <w:r w:rsidRPr="00762CFC">
        <w:rPr>
          <w:rFonts w:ascii="Times New Roman" w:hAnsi="Times New Roman" w:cs="Times New Roman"/>
          <w:b/>
          <w:sz w:val="24"/>
          <w:szCs w:val="24"/>
        </w:rPr>
        <w:t xml:space="preserve">: </w:t>
      </w:r>
      <w:r w:rsidR="00EA46D1" w:rsidRPr="00762CFC">
        <w:rPr>
          <w:rFonts w:ascii="Times New Roman" w:hAnsi="Times New Roman" w:cs="Times New Roman"/>
          <w:b/>
          <w:sz w:val="24"/>
          <w:szCs w:val="24"/>
        </w:rPr>
        <w:t xml:space="preserve"> Surveyor certification box. </w:t>
      </w:r>
    </w:p>
    <w:p w:rsidR="004A725A" w:rsidRPr="00762CFC" w:rsidRDefault="00EA46D1" w:rsidP="002B3299">
      <w:pPr>
        <w:spacing w:after="0" w:line="360" w:lineRule="auto"/>
        <w:ind w:left="360"/>
        <w:jc w:val="both"/>
        <w:rPr>
          <w:rFonts w:ascii="Times New Roman" w:hAnsi="Times New Roman" w:cs="Times New Roman"/>
          <w:sz w:val="24"/>
          <w:szCs w:val="24"/>
        </w:rPr>
      </w:pPr>
      <w:r w:rsidRPr="00762CFC">
        <w:rPr>
          <w:rFonts w:ascii="Times New Roman" w:hAnsi="Times New Roman" w:cs="Times New Roman"/>
          <w:sz w:val="24"/>
          <w:szCs w:val="24"/>
        </w:rPr>
        <w:t>Each map, plat, or plan shall provide a box which contains the following language and the applicable certifications of the registered land 61 surveyor required pursuant to subsection (c) of this Code section:</w:t>
      </w:r>
      <w:r w:rsidR="00C80D6E" w:rsidRPr="00762CFC">
        <w:rPr>
          <w:rFonts w:ascii="Times New Roman" w:hAnsi="Times New Roman" w:cs="Times New Roman"/>
          <w:sz w:val="24"/>
          <w:szCs w:val="24"/>
        </w:rPr>
        <w:t xml:space="preserve"> </w:t>
      </w:r>
    </w:p>
    <w:p w:rsidR="005B6B21" w:rsidRPr="00762CFC" w:rsidRDefault="00EA46D1" w:rsidP="002B3299">
      <w:pPr>
        <w:spacing w:after="0" w:line="240" w:lineRule="auto"/>
        <w:ind w:left="720"/>
        <w:jc w:val="both"/>
        <w:rPr>
          <w:rFonts w:ascii="Times New Roman" w:hAnsi="Times New Roman" w:cs="Times New Roman"/>
          <w:sz w:val="24"/>
          <w:szCs w:val="24"/>
        </w:rPr>
      </w:pPr>
      <w:r w:rsidRPr="00762CFC">
        <w:rPr>
          <w:rFonts w:ascii="Times New Roman" w:hAnsi="Times New Roman" w:cs="Times New Roman"/>
          <w:sz w:val="24"/>
          <w:szCs w:val="24"/>
        </w:rPr>
        <w:t xml:space="preserve">As required by subsection (c) of O.C.G.A. Section 15-6-67, the Registered Land Surveyor hereby certifies that this map, plat, or plan has been approved for filing in writing by any and all applicable municipal, county, or municipal-county planning commissions or municipal or county governing authorities or that such governmental bodies have affirmed in writing that approval is not required. The following governmental bodies have approved this map, plat, or plan for filing: </w:t>
      </w:r>
    </w:p>
    <w:p w:rsidR="005B6B21" w:rsidRPr="00762CFC" w:rsidRDefault="005B6B21" w:rsidP="002B3299">
      <w:pPr>
        <w:spacing w:after="0" w:line="360" w:lineRule="auto"/>
        <w:ind w:left="720"/>
        <w:jc w:val="both"/>
        <w:rPr>
          <w:rFonts w:ascii="Times New Roman" w:hAnsi="Times New Roman" w:cs="Times New Roman"/>
          <w:sz w:val="24"/>
          <w:szCs w:val="24"/>
        </w:rPr>
      </w:pPr>
    </w:p>
    <w:p w:rsidR="0057351D" w:rsidRPr="00762CFC" w:rsidRDefault="0057351D" w:rsidP="002B3299">
      <w:pPr>
        <w:spacing w:after="0" w:line="360" w:lineRule="auto"/>
        <w:ind w:left="720"/>
        <w:jc w:val="both"/>
        <w:rPr>
          <w:rFonts w:ascii="Times New Roman" w:hAnsi="Times New Roman" w:cs="Times New Roman"/>
          <w:sz w:val="24"/>
          <w:szCs w:val="24"/>
        </w:rPr>
      </w:pPr>
      <w:r w:rsidRPr="00762CFC">
        <w:rPr>
          <w:rFonts w:ascii="Times New Roman" w:hAnsi="Times New Roman" w:cs="Times New Roman"/>
          <w:sz w:val="24"/>
          <w:szCs w:val="24"/>
        </w:rPr>
        <w:t>__________________________________ Name and date (mm/dd/yyyy)</w:t>
      </w:r>
    </w:p>
    <w:p w:rsidR="004A725A" w:rsidRPr="00762CFC" w:rsidRDefault="00EA46D1" w:rsidP="002B3299">
      <w:pPr>
        <w:spacing w:after="0" w:line="360" w:lineRule="auto"/>
        <w:ind w:left="720"/>
        <w:jc w:val="both"/>
        <w:rPr>
          <w:rFonts w:ascii="Times New Roman" w:hAnsi="Times New Roman" w:cs="Times New Roman"/>
          <w:sz w:val="24"/>
          <w:szCs w:val="24"/>
        </w:rPr>
      </w:pPr>
      <w:r w:rsidRPr="00762CFC">
        <w:rPr>
          <w:rFonts w:ascii="Times New Roman" w:hAnsi="Times New Roman" w:cs="Times New Roman"/>
          <w:sz w:val="24"/>
          <w:szCs w:val="24"/>
        </w:rPr>
        <w:t xml:space="preserve"> ___________________________________ Name and date (mm/dd/yyyy) </w:t>
      </w:r>
    </w:p>
    <w:p w:rsidR="004A725A" w:rsidRPr="00762CFC" w:rsidRDefault="004A725A" w:rsidP="002B3299">
      <w:pPr>
        <w:spacing w:after="0" w:line="360" w:lineRule="auto"/>
        <w:ind w:left="720"/>
        <w:jc w:val="both"/>
        <w:rPr>
          <w:rFonts w:ascii="Times New Roman" w:hAnsi="Times New Roman" w:cs="Times New Roman"/>
          <w:sz w:val="24"/>
          <w:szCs w:val="24"/>
        </w:rPr>
      </w:pPr>
    </w:p>
    <w:p w:rsidR="005B6B21" w:rsidRPr="00762CFC" w:rsidRDefault="00EA46D1" w:rsidP="002B3299">
      <w:pPr>
        <w:spacing w:after="0" w:line="360" w:lineRule="auto"/>
        <w:ind w:left="720"/>
        <w:jc w:val="both"/>
        <w:rPr>
          <w:rFonts w:ascii="Times New Roman" w:hAnsi="Times New Roman" w:cs="Times New Roman"/>
          <w:sz w:val="24"/>
          <w:szCs w:val="24"/>
        </w:rPr>
      </w:pPr>
      <w:r w:rsidRPr="00762CFC">
        <w:rPr>
          <w:rFonts w:ascii="Times New Roman" w:hAnsi="Times New Roman" w:cs="Times New Roman"/>
          <w:sz w:val="24"/>
          <w:szCs w:val="24"/>
        </w:rPr>
        <w:t xml:space="preserve">The following governmental bodies have affirmed that approval is not required: </w:t>
      </w:r>
    </w:p>
    <w:p w:rsidR="005B6B21" w:rsidRPr="00762CFC" w:rsidRDefault="005B6B21" w:rsidP="002B3299">
      <w:pPr>
        <w:spacing w:after="0" w:line="360" w:lineRule="auto"/>
        <w:ind w:left="720"/>
        <w:jc w:val="both"/>
        <w:rPr>
          <w:rFonts w:ascii="Times New Roman" w:hAnsi="Times New Roman" w:cs="Times New Roman"/>
          <w:sz w:val="24"/>
          <w:szCs w:val="24"/>
        </w:rPr>
      </w:pPr>
    </w:p>
    <w:p w:rsidR="0057351D" w:rsidRPr="00762CFC" w:rsidRDefault="00EA46D1" w:rsidP="002B3299">
      <w:pPr>
        <w:spacing w:after="0" w:line="360" w:lineRule="auto"/>
        <w:ind w:left="720"/>
        <w:jc w:val="both"/>
        <w:rPr>
          <w:rFonts w:ascii="Times New Roman" w:hAnsi="Times New Roman" w:cs="Times New Roman"/>
          <w:sz w:val="24"/>
          <w:szCs w:val="24"/>
        </w:rPr>
      </w:pPr>
      <w:r w:rsidRPr="00762CFC">
        <w:rPr>
          <w:rFonts w:ascii="Times New Roman" w:hAnsi="Times New Roman" w:cs="Times New Roman"/>
          <w:sz w:val="24"/>
          <w:szCs w:val="24"/>
        </w:rPr>
        <w:t>_____</w:t>
      </w:r>
      <w:r w:rsidR="004A725A" w:rsidRPr="00762CFC">
        <w:rPr>
          <w:rFonts w:ascii="Times New Roman" w:hAnsi="Times New Roman" w:cs="Times New Roman"/>
          <w:sz w:val="24"/>
          <w:szCs w:val="24"/>
        </w:rPr>
        <w:t>_______________________________</w:t>
      </w:r>
      <w:r w:rsidR="0057351D" w:rsidRPr="00762CFC">
        <w:rPr>
          <w:rFonts w:ascii="Times New Roman" w:hAnsi="Times New Roman" w:cs="Times New Roman"/>
          <w:sz w:val="24"/>
          <w:szCs w:val="24"/>
        </w:rPr>
        <w:t xml:space="preserve"> Name and date (mm/dd/yyyy)</w:t>
      </w:r>
    </w:p>
    <w:p w:rsidR="004A725A" w:rsidRPr="00762CFC" w:rsidRDefault="00EA46D1" w:rsidP="002B3299">
      <w:pPr>
        <w:spacing w:after="0" w:line="360" w:lineRule="auto"/>
        <w:ind w:left="720"/>
        <w:jc w:val="both"/>
        <w:rPr>
          <w:rFonts w:ascii="Times New Roman" w:hAnsi="Times New Roman" w:cs="Times New Roman"/>
          <w:sz w:val="24"/>
          <w:szCs w:val="24"/>
        </w:rPr>
      </w:pPr>
      <w:r w:rsidRPr="00762CFC">
        <w:rPr>
          <w:rFonts w:ascii="Times New Roman" w:hAnsi="Times New Roman" w:cs="Times New Roman"/>
          <w:sz w:val="24"/>
          <w:szCs w:val="24"/>
        </w:rPr>
        <w:t xml:space="preserve"> ____________________________________ Name and date (mm/dd/yyyy) </w:t>
      </w:r>
    </w:p>
    <w:p w:rsidR="0057351D" w:rsidRPr="00762CFC" w:rsidRDefault="0057351D" w:rsidP="002B3299">
      <w:pPr>
        <w:spacing w:after="0" w:line="360" w:lineRule="auto"/>
        <w:ind w:left="720"/>
        <w:jc w:val="both"/>
        <w:rPr>
          <w:rFonts w:ascii="Times New Roman" w:hAnsi="Times New Roman" w:cs="Times New Roman"/>
          <w:sz w:val="24"/>
          <w:szCs w:val="24"/>
        </w:rPr>
      </w:pPr>
    </w:p>
    <w:p w:rsidR="002D3BD1" w:rsidRPr="00762CFC" w:rsidRDefault="00EA46D1" w:rsidP="002B3299">
      <w:pPr>
        <w:spacing w:after="0" w:line="240" w:lineRule="auto"/>
        <w:ind w:left="720"/>
        <w:jc w:val="both"/>
        <w:rPr>
          <w:rFonts w:ascii="Times New Roman" w:hAnsi="Times New Roman" w:cs="Times New Roman"/>
          <w:sz w:val="24"/>
          <w:szCs w:val="24"/>
        </w:rPr>
      </w:pPr>
      <w:r w:rsidRPr="00762CFC">
        <w:rPr>
          <w:rFonts w:ascii="Times New Roman" w:hAnsi="Times New Roman" w:cs="Times New Roman"/>
          <w:sz w:val="24"/>
          <w:szCs w:val="24"/>
        </w:rPr>
        <w:t>Such approvals or affirmations should be confirmed with the appropriate governmental bodies by any purchaser as to intended use of any parcel. The Registered Land Surveyor further certifies that this map, plat, or plan complies with the minimum standards and specifications of the State Board of Registration for Professional Engineers and Land Surveyors and the Georgia Superior Court Clerks'</w:t>
      </w:r>
      <w:r w:rsidR="00934477" w:rsidRPr="00762CFC">
        <w:rPr>
          <w:rFonts w:ascii="Times New Roman" w:hAnsi="Times New Roman" w:cs="Times New Roman"/>
          <w:sz w:val="24"/>
          <w:szCs w:val="24"/>
        </w:rPr>
        <w:t xml:space="preserve"> Cooperative Authority.</w:t>
      </w:r>
    </w:p>
    <w:p w:rsidR="00E56D38" w:rsidRPr="00762CFC" w:rsidRDefault="00E56D38" w:rsidP="002B3299">
      <w:pPr>
        <w:spacing w:after="0" w:line="360" w:lineRule="auto"/>
        <w:ind w:left="720"/>
        <w:jc w:val="both"/>
        <w:rPr>
          <w:rFonts w:ascii="Times New Roman" w:hAnsi="Times New Roman" w:cs="Times New Roman"/>
          <w:sz w:val="24"/>
          <w:szCs w:val="24"/>
        </w:rPr>
      </w:pPr>
    </w:p>
    <w:p w:rsidR="009C4787" w:rsidRPr="00762CFC" w:rsidRDefault="009C4787" w:rsidP="002B3299">
      <w:pPr>
        <w:spacing w:after="0" w:line="360" w:lineRule="auto"/>
        <w:rPr>
          <w:rFonts w:ascii="Times New Roman" w:eastAsia="Times New Roman" w:hAnsi="Times New Roman" w:cs="Times New Roman"/>
          <w:b/>
          <w:sz w:val="24"/>
          <w:szCs w:val="24"/>
        </w:rPr>
      </w:pPr>
      <w:r w:rsidRPr="00762CFC">
        <w:rPr>
          <w:rFonts w:ascii="Times New Roman" w:eastAsia="Times New Roman" w:hAnsi="Times New Roman" w:cs="Times New Roman"/>
          <w:b/>
          <w:sz w:val="24"/>
          <w:szCs w:val="24"/>
        </w:rPr>
        <w:lastRenderedPageBreak/>
        <w:t>II</w:t>
      </w:r>
      <w:r w:rsidR="00DD1C9E" w:rsidRPr="00762CFC">
        <w:rPr>
          <w:rFonts w:ascii="Times New Roman" w:eastAsia="Times New Roman" w:hAnsi="Times New Roman" w:cs="Times New Roman"/>
          <w:b/>
          <w:sz w:val="24"/>
          <w:szCs w:val="24"/>
        </w:rPr>
        <w:t>I</w:t>
      </w:r>
      <w:r w:rsidR="00182554" w:rsidRPr="00762CFC">
        <w:rPr>
          <w:rFonts w:ascii="Times New Roman" w:eastAsia="Times New Roman" w:hAnsi="Times New Roman" w:cs="Times New Roman"/>
          <w:b/>
          <w:sz w:val="24"/>
          <w:szCs w:val="24"/>
        </w:rPr>
        <w:t>.</w:t>
      </w:r>
      <w:r w:rsidR="00182554" w:rsidRPr="00762CFC">
        <w:rPr>
          <w:rFonts w:ascii="Times New Roman" w:eastAsia="Times New Roman" w:hAnsi="Times New Roman" w:cs="Times New Roman"/>
          <w:b/>
          <w:sz w:val="24"/>
          <w:szCs w:val="24"/>
        </w:rPr>
        <w:tab/>
        <w:t>JUDICIAL UPDATE</w:t>
      </w:r>
    </w:p>
    <w:p w:rsidR="00EF58BA" w:rsidRPr="00762CFC" w:rsidRDefault="00EF58BA"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As will come to no surprise to practitioners in this area of the law, the Georgia appellate courts’ most recent</w:t>
      </w:r>
      <w:r w:rsidR="001C0463" w:rsidRPr="00762CFC">
        <w:rPr>
          <w:rFonts w:ascii="Times New Roman" w:eastAsia="Times New Roman" w:hAnsi="Times New Roman" w:cs="Times New Roman"/>
          <w:sz w:val="24"/>
          <w:szCs w:val="24"/>
        </w:rPr>
        <w:t xml:space="preserve"> quiet title </w:t>
      </w:r>
      <w:r w:rsidRPr="00762CFC">
        <w:rPr>
          <w:rFonts w:ascii="Times New Roman" w:eastAsia="Times New Roman" w:hAnsi="Times New Roman" w:cs="Times New Roman"/>
          <w:sz w:val="24"/>
          <w:szCs w:val="24"/>
        </w:rPr>
        <w:t>decisions</w:t>
      </w:r>
      <w:r w:rsidR="009C4787" w:rsidRPr="00762CFC">
        <w:rPr>
          <w:rFonts w:ascii="Times New Roman" w:eastAsia="Times New Roman" w:hAnsi="Times New Roman" w:cs="Times New Roman"/>
          <w:sz w:val="24"/>
          <w:szCs w:val="24"/>
        </w:rPr>
        <w:t xml:space="preserve"> do not </w:t>
      </w:r>
      <w:r w:rsidR="00111B5A" w:rsidRPr="00762CFC">
        <w:rPr>
          <w:rFonts w:ascii="Times New Roman" w:eastAsia="Times New Roman" w:hAnsi="Times New Roman" w:cs="Times New Roman"/>
          <w:sz w:val="24"/>
          <w:szCs w:val="24"/>
        </w:rPr>
        <w:t xml:space="preserve">necessarily </w:t>
      </w:r>
      <w:r w:rsidR="009C4787" w:rsidRPr="00762CFC">
        <w:rPr>
          <w:rFonts w:ascii="Times New Roman" w:eastAsia="Times New Roman" w:hAnsi="Times New Roman" w:cs="Times New Roman"/>
          <w:sz w:val="24"/>
          <w:szCs w:val="24"/>
        </w:rPr>
        <w:t>move the needle in terms of ground</w:t>
      </w:r>
      <w:r w:rsidR="00111B5A" w:rsidRPr="00762CFC">
        <w:rPr>
          <w:rFonts w:ascii="Times New Roman" w:eastAsia="Times New Roman" w:hAnsi="Times New Roman" w:cs="Times New Roman"/>
          <w:sz w:val="24"/>
          <w:szCs w:val="24"/>
        </w:rPr>
        <w:t>-</w:t>
      </w:r>
      <w:r w:rsidR="009C4787" w:rsidRPr="00762CFC">
        <w:rPr>
          <w:rFonts w:ascii="Times New Roman" w:eastAsia="Times New Roman" w:hAnsi="Times New Roman" w:cs="Times New Roman"/>
          <w:sz w:val="24"/>
          <w:szCs w:val="24"/>
        </w:rPr>
        <w:t xml:space="preserve"> breaking </w:t>
      </w:r>
      <w:r w:rsidR="00182554" w:rsidRPr="00762CFC">
        <w:rPr>
          <w:rFonts w:ascii="Times New Roman" w:eastAsia="Times New Roman" w:hAnsi="Times New Roman" w:cs="Times New Roman"/>
          <w:sz w:val="24"/>
          <w:szCs w:val="24"/>
        </w:rPr>
        <w:t>substantive</w:t>
      </w:r>
      <w:r w:rsidR="00E56D38" w:rsidRPr="00762CFC">
        <w:rPr>
          <w:rFonts w:ascii="Times New Roman" w:eastAsia="Times New Roman" w:hAnsi="Times New Roman" w:cs="Times New Roman"/>
          <w:sz w:val="24"/>
          <w:szCs w:val="24"/>
        </w:rPr>
        <w:t xml:space="preserve"> </w:t>
      </w:r>
      <w:r w:rsidR="009C4787" w:rsidRPr="00762CFC">
        <w:rPr>
          <w:rFonts w:ascii="Times New Roman" w:eastAsia="Times New Roman" w:hAnsi="Times New Roman" w:cs="Times New Roman"/>
          <w:sz w:val="24"/>
          <w:szCs w:val="24"/>
        </w:rPr>
        <w:t>precedent.</w:t>
      </w:r>
      <w:r w:rsidR="001C0463" w:rsidRPr="00762CFC">
        <w:rPr>
          <w:rFonts w:ascii="Times New Roman" w:eastAsia="Times New Roman" w:hAnsi="Times New Roman" w:cs="Times New Roman"/>
          <w:sz w:val="24"/>
          <w:szCs w:val="24"/>
        </w:rPr>
        <w:t xml:space="preserve">  </w:t>
      </w:r>
      <w:r w:rsidR="009C4787" w:rsidRPr="00762CFC">
        <w:rPr>
          <w:rFonts w:ascii="Times New Roman" w:eastAsia="Times New Roman" w:hAnsi="Times New Roman" w:cs="Times New Roman"/>
          <w:sz w:val="24"/>
          <w:szCs w:val="24"/>
        </w:rPr>
        <w:t xml:space="preserve">However, a number of </w:t>
      </w:r>
      <w:r w:rsidR="003D0A60" w:rsidRPr="00762CFC">
        <w:rPr>
          <w:rFonts w:ascii="Times New Roman" w:eastAsia="Times New Roman" w:hAnsi="Times New Roman" w:cs="Times New Roman"/>
          <w:sz w:val="24"/>
          <w:szCs w:val="24"/>
        </w:rPr>
        <w:t xml:space="preserve">relatively </w:t>
      </w:r>
      <w:r w:rsidR="009C4787" w:rsidRPr="00762CFC">
        <w:rPr>
          <w:rFonts w:ascii="Times New Roman" w:eastAsia="Times New Roman" w:hAnsi="Times New Roman" w:cs="Times New Roman"/>
          <w:sz w:val="24"/>
          <w:szCs w:val="24"/>
        </w:rPr>
        <w:t xml:space="preserve">recent cases make excellent study guides for practice pointers and clarification on the myriad of procedural and evidentiary issues that can </w:t>
      </w:r>
      <w:r w:rsidR="003D0A60" w:rsidRPr="00762CFC">
        <w:rPr>
          <w:rFonts w:ascii="Times New Roman" w:eastAsia="Times New Roman" w:hAnsi="Times New Roman" w:cs="Times New Roman"/>
          <w:sz w:val="24"/>
          <w:szCs w:val="24"/>
        </w:rPr>
        <w:t xml:space="preserve">run </w:t>
      </w:r>
      <w:r w:rsidR="009C4787" w:rsidRPr="00762CFC">
        <w:rPr>
          <w:rFonts w:ascii="Times New Roman" w:eastAsia="Times New Roman" w:hAnsi="Times New Roman" w:cs="Times New Roman"/>
          <w:sz w:val="24"/>
          <w:szCs w:val="24"/>
        </w:rPr>
        <w:t>rampant in quiet title actions.</w:t>
      </w:r>
    </w:p>
    <w:p w:rsidR="00E0577E" w:rsidRPr="00762CFC" w:rsidRDefault="00E0577E" w:rsidP="002B3299">
      <w:pPr>
        <w:pStyle w:val="ListParagraph"/>
        <w:numPr>
          <w:ilvl w:val="0"/>
          <w:numId w:val="3"/>
        </w:numPr>
        <w:spacing w:after="0" w:line="360" w:lineRule="auto"/>
        <w:ind w:left="1440" w:hanging="720"/>
        <w:rPr>
          <w:rFonts w:ascii="Times New Roman" w:eastAsia="Times New Roman" w:hAnsi="Times New Roman" w:cs="Times New Roman"/>
          <w:sz w:val="24"/>
          <w:szCs w:val="24"/>
        </w:rPr>
      </w:pPr>
      <w:r w:rsidRPr="00762CFC">
        <w:rPr>
          <w:rFonts w:ascii="Times New Roman" w:eastAsia="Times New Roman" w:hAnsi="Times New Roman" w:cs="Times New Roman"/>
          <w:b/>
          <w:sz w:val="24"/>
          <w:szCs w:val="24"/>
        </w:rPr>
        <w:t>Sovereign Immunity</w:t>
      </w:r>
      <w:r w:rsidR="002A374B" w:rsidRPr="00762CFC">
        <w:rPr>
          <w:rFonts w:ascii="Times New Roman" w:eastAsia="Times New Roman" w:hAnsi="Times New Roman" w:cs="Times New Roman"/>
          <w:b/>
          <w:sz w:val="24"/>
          <w:szCs w:val="24"/>
        </w:rPr>
        <w:t>.</w:t>
      </w:r>
    </w:p>
    <w:p w:rsidR="00865919" w:rsidRPr="00762CFC" w:rsidRDefault="00E0577E" w:rsidP="002B3299">
      <w:pPr>
        <w:spacing w:after="0" w:line="360" w:lineRule="auto"/>
        <w:rPr>
          <w:rFonts w:ascii="Times New Roman" w:eastAsia="Times New Roman" w:hAnsi="Times New Roman" w:cs="Times New Roman"/>
          <w:b/>
          <w:sz w:val="24"/>
          <w:szCs w:val="24"/>
        </w:rPr>
      </w:pPr>
      <w:r w:rsidRPr="00762CFC">
        <w:rPr>
          <w:rFonts w:ascii="Times New Roman" w:eastAsia="Times New Roman" w:hAnsi="Times New Roman" w:cs="Times New Roman"/>
          <w:b/>
          <w:sz w:val="24"/>
          <w:szCs w:val="24"/>
          <w:u w:val="single"/>
        </w:rPr>
        <w:t>TDGA, LLC v. CBIRA, LLC</w:t>
      </w:r>
      <w:r w:rsidRPr="00762CFC">
        <w:rPr>
          <w:rFonts w:ascii="Times New Roman" w:eastAsia="Times New Roman" w:hAnsi="Times New Roman" w:cs="Times New Roman"/>
          <w:b/>
          <w:sz w:val="24"/>
          <w:szCs w:val="24"/>
        </w:rPr>
        <w:t>, 298 Ga. 510, 783 S.E.2d 107 (2016).</w:t>
      </w:r>
    </w:p>
    <w:p w:rsidR="00E0577E" w:rsidRPr="00762CFC" w:rsidRDefault="002A374B" w:rsidP="002B3299">
      <w:pPr>
        <w:spacing w:after="0" w:line="360" w:lineRule="auto"/>
        <w:rPr>
          <w:rFonts w:ascii="Times New Roman" w:eastAsia="Times New Roman" w:hAnsi="Times New Roman" w:cs="Times New Roman"/>
          <w:sz w:val="24"/>
          <w:szCs w:val="24"/>
        </w:rPr>
      </w:pPr>
      <w:r w:rsidRPr="00762CFC">
        <w:rPr>
          <w:rFonts w:ascii="Times New Roman" w:eastAsia="Times New Roman" w:hAnsi="Times New Roman" w:cs="Times New Roman"/>
          <w:b/>
          <w:sz w:val="24"/>
          <w:szCs w:val="24"/>
        </w:rPr>
        <w:t xml:space="preserve">Held: </w:t>
      </w:r>
      <w:r w:rsidR="00E0577E" w:rsidRPr="00762CFC">
        <w:rPr>
          <w:rFonts w:ascii="Times New Roman" w:eastAsia="Times New Roman" w:hAnsi="Times New Roman" w:cs="Times New Roman"/>
          <w:b/>
          <w:sz w:val="24"/>
          <w:szCs w:val="24"/>
        </w:rPr>
        <w:t>Sovereign immunity does not bar in rem quiet title actions against the state.</w:t>
      </w:r>
    </w:p>
    <w:p w:rsidR="006130EB" w:rsidRPr="00762CFC" w:rsidRDefault="00E0577E"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 xml:space="preserve">TDGA, LLC acquired property from another entity that had purchased the property at a tax sale. Afterwards, TDGA followed the non-judicial process of foreclosing any right of redemption to the property </w:t>
      </w:r>
      <w:r w:rsidR="006130EB" w:rsidRPr="00762CFC">
        <w:rPr>
          <w:rFonts w:ascii="Times New Roman" w:eastAsia="Times New Roman" w:hAnsi="Times New Roman" w:cs="Times New Roman"/>
          <w:sz w:val="24"/>
          <w:szCs w:val="24"/>
        </w:rPr>
        <w:t xml:space="preserve">pursuant to O.C.G.A. §§ 48-4-45 and 48-4-46.  TDGA then </w:t>
      </w:r>
      <w:r w:rsidRPr="00762CFC">
        <w:rPr>
          <w:rFonts w:ascii="Times New Roman" w:eastAsia="Times New Roman" w:hAnsi="Times New Roman" w:cs="Times New Roman"/>
          <w:sz w:val="24"/>
          <w:szCs w:val="24"/>
        </w:rPr>
        <w:t xml:space="preserve">provided notice of the foreclosure of </w:t>
      </w:r>
      <w:r w:rsidR="00401500" w:rsidRPr="00762CFC">
        <w:rPr>
          <w:rFonts w:ascii="Times New Roman" w:eastAsia="Times New Roman" w:hAnsi="Times New Roman" w:cs="Times New Roman"/>
          <w:sz w:val="24"/>
          <w:szCs w:val="24"/>
        </w:rPr>
        <w:t xml:space="preserve">the </w:t>
      </w:r>
      <w:r w:rsidRPr="00762CFC">
        <w:rPr>
          <w:rFonts w:ascii="Times New Roman" w:eastAsia="Times New Roman" w:hAnsi="Times New Roman" w:cs="Times New Roman"/>
          <w:sz w:val="24"/>
          <w:szCs w:val="24"/>
        </w:rPr>
        <w:t>redemption rights to all interested parties in the property</w:t>
      </w:r>
      <w:r w:rsidR="00D71B17" w:rsidRPr="00762CFC">
        <w:rPr>
          <w:rFonts w:ascii="Times New Roman" w:eastAsia="Times New Roman" w:hAnsi="Times New Roman" w:cs="Times New Roman"/>
          <w:sz w:val="24"/>
          <w:szCs w:val="24"/>
        </w:rPr>
        <w:t>, including</w:t>
      </w:r>
      <w:r w:rsidRPr="00762CFC">
        <w:rPr>
          <w:rFonts w:ascii="Times New Roman" w:eastAsia="Times New Roman" w:hAnsi="Times New Roman" w:cs="Times New Roman"/>
          <w:sz w:val="24"/>
          <w:szCs w:val="24"/>
        </w:rPr>
        <w:t xml:space="preserve"> the Georgia Department of Revenue and the Georgia Department of Labor (</w:t>
      </w:r>
      <w:r w:rsidR="00401500" w:rsidRPr="00762CFC">
        <w:rPr>
          <w:rFonts w:ascii="Times New Roman" w:eastAsia="Times New Roman" w:hAnsi="Times New Roman" w:cs="Times New Roman"/>
          <w:sz w:val="24"/>
          <w:szCs w:val="24"/>
        </w:rPr>
        <w:t>collectively the “</w:t>
      </w:r>
      <w:r w:rsidRPr="00762CFC">
        <w:rPr>
          <w:rFonts w:ascii="Times New Roman" w:eastAsia="Times New Roman" w:hAnsi="Times New Roman" w:cs="Times New Roman"/>
          <w:sz w:val="24"/>
          <w:szCs w:val="24"/>
        </w:rPr>
        <w:t>Departments</w:t>
      </w:r>
      <w:r w:rsidR="00401500" w:rsidRPr="00762CFC">
        <w:rPr>
          <w:rFonts w:ascii="Times New Roman" w:eastAsia="Times New Roman" w:hAnsi="Times New Roman" w:cs="Times New Roman"/>
          <w:sz w:val="24"/>
          <w:szCs w:val="24"/>
        </w:rPr>
        <w:t>”</w:t>
      </w:r>
      <w:r w:rsidRPr="00762CFC">
        <w:rPr>
          <w:rFonts w:ascii="Times New Roman" w:eastAsia="Times New Roman" w:hAnsi="Times New Roman" w:cs="Times New Roman"/>
          <w:sz w:val="24"/>
          <w:szCs w:val="24"/>
        </w:rPr>
        <w:t>), each of which held recorded t</w:t>
      </w:r>
      <w:r w:rsidR="006130EB" w:rsidRPr="00762CFC">
        <w:rPr>
          <w:rFonts w:ascii="Times New Roman" w:eastAsia="Times New Roman" w:hAnsi="Times New Roman" w:cs="Times New Roman"/>
          <w:sz w:val="24"/>
          <w:szCs w:val="24"/>
        </w:rPr>
        <w:t xml:space="preserve">ax liens against the property.  </w:t>
      </w:r>
    </w:p>
    <w:p w:rsidR="002E5435" w:rsidRPr="00762CFC" w:rsidRDefault="00401500"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 xml:space="preserve">Post-foreclosure, </w:t>
      </w:r>
      <w:r w:rsidR="00E0577E" w:rsidRPr="00762CFC">
        <w:rPr>
          <w:rFonts w:ascii="Times New Roman" w:eastAsia="Times New Roman" w:hAnsi="Times New Roman" w:cs="Times New Roman"/>
          <w:sz w:val="24"/>
          <w:szCs w:val="24"/>
        </w:rPr>
        <w:t>TDGA filed a conventional quiet title action pursuant to OCGA § 23–3–40 to obtain a ruling that all redemption rights had been properly foreclosed</w:t>
      </w:r>
      <w:r w:rsidRPr="00762CFC">
        <w:rPr>
          <w:rFonts w:ascii="Times New Roman" w:eastAsia="Times New Roman" w:hAnsi="Times New Roman" w:cs="Times New Roman"/>
          <w:sz w:val="24"/>
          <w:szCs w:val="24"/>
        </w:rPr>
        <w:t xml:space="preserve">, which TDGA intended to use </w:t>
      </w:r>
      <w:r w:rsidR="00D86786" w:rsidRPr="00762CFC">
        <w:rPr>
          <w:rFonts w:ascii="Times New Roman" w:eastAsia="Times New Roman" w:hAnsi="Times New Roman" w:cs="Times New Roman"/>
          <w:sz w:val="24"/>
          <w:szCs w:val="24"/>
        </w:rPr>
        <w:t xml:space="preserve">to show that it held marketable title to the property.  </w:t>
      </w:r>
      <w:r w:rsidR="00E0577E" w:rsidRPr="00762CFC">
        <w:rPr>
          <w:rFonts w:ascii="Times New Roman" w:eastAsia="Times New Roman" w:hAnsi="Times New Roman" w:cs="Times New Roman"/>
          <w:sz w:val="24"/>
          <w:szCs w:val="24"/>
        </w:rPr>
        <w:t xml:space="preserve">After being served with the quiet title action, the Departments, which </w:t>
      </w:r>
      <w:r w:rsidR="00D86786" w:rsidRPr="00762CFC">
        <w:rPr>
          <w:rFonts w:ascii="Times New Roman" w:eastAsia="Times New Roman" w:hAnsi="Times New Roman" w:cs="Times New Roman"/>
          <w:sz w:val="24"/>
          <w:szCs w:val="24"/>
        </w:rPr>
        <w:t xml:space="preserve">never </w:t>
      </w:r>
      <w:r w:rsidR="00E0577E" w:rsidRPr="00762CFC">
        <w:rPr>
          <w:rFonts w:ascii="Times New Roman" w:eastAsia="Times New Roman" w:hAnsi="Times New Roman" w:cs="Times New Roman"/>
          <w:sz w:val="24"/>
          <w:szCs w:val="24"/>
        </w:rPr>
        <w:t>released their respective liens, filed a joint motion to dismiss, arguing that the suit was barred by sovereign immunity.</w:t>
      </w:r>
      <w:r w:rsidR="00D86786" w:rsidRPr="00762CFC">
        <w:rPr>
          <w:rFonts w:ascii="Times New Roman" w:eastAsia="Times New Roman" w:hAnsi="Times New Roman" w:cs="Times New Roman"/>
          <w:sz w:val="24"/>
          <w:szCs w:val="24"/>
        </w:rPr>
        <w:t xml:space="preserve">  </w:t>
      </w:r>
      <w:r w:rsidR="00E0577E" w:rsidRPr="00762CFC">
        <w:rPr>
          <w:rFonts w:ascii="Times New Roman" w:eastAsia="Times New Roman" w:hAnsi="Times New Roman" w:cs="Times New Roman"/>
          <w:sz w:val="24"/>
          <w:szCs w:val="24"/>
        </w:rPr>
        <w:t xml:space="preserve">In its </w:t>
      </w:r>
      <w:r w:rsidR="00D86786" w:rsidRPr="00762CFC">
        <w:rPr>
          <w:rFonts w:ascii="Times New Roman" w:eastAsia="Times New Roman" w:hAnsi="Times New Roman" w:cs="Times New Roman"/>
          <w:sz w:val="24"/>
          <w:szCs w:val="24"/>
        </w:rPr>
        <w:t xml:space="preserve">initial favorable </w:t>
      </w:r>
      <w:r w:rsidR="00E0577E" w:rsidRPr="00762CFC">
        <w:rPr>
          <w:rFonts w:ascii="Times New Roman" w:eastAsia="Times New Roman" w:hAnsi="Times New Roman" w:cs="Times New Roman"/>
          <w:sz w:val="24"/>
          <w:szCs w:val="24"/>
        </w:rPr>
        <w:t>ruling</w:t>
      </w:r>
      <w:r w:rsidR="00D86786" w:rsidRPr="00762CFC">
        <w:rPr>
          <w:rFonts w:ascii="Times New Roman" w:eastAsia="Times New Roman" w:hAnsi="Times New Roman" w:cs="Times New Roman"/>
          <w:sz w:val="24"/>
          <w:szCs w:val="24"/>
        </w:rPr>
        <w:t xml:space="preserve"> on behalf of the Departments</w:t>
      </w:r>
      <w:r w:rsidR="00E0577E" w:rsidRPr="00762CFC">
        <w:rPr>
          <w:rFonts w:ascii="Times New Roman" w:eastAsia="Times New Roman" w:hAnsi="Times New Roman" w:cs="Times New Roman"/>
          <w:sz w:val="24"/>
          <w:szCs w:val="24"/>
        </w:rPr>
        <w:t>, the trial court determined that, although TDGA had properly foreclosed the right of redemption of all parties</w:t>
      </w:r>
      <w:r w:rsidR="00E96678" w:rsidRPr="00762CFC">
        <w:rPr>
          <w:rFonts w:ascii="Times New Roman" w:eastAsia="Times New Roman" w:hAnsi="Times New Roman" w:cs="Times New Roman"/>
          <w:sz w:val="24"/>
          <w:szCs w:val="24"/>
        </w:rPr>
        <w:t xml:space="preserve"> (</w:t>
      </w:r>
      <w:r w:rsidR="00E0577E" w:rsidRPr="00762CFC">
        <w:rPr>
          <w:rFonts w:ascii="Times New Roman" w:eastAsia="Times New Roman" w:hAnsi="Times New Roman" w:cs="Times New Roman"/>
          <w:sz w:val="24"/>
          <w:szCs w:val="24"/>
        </w:rPr>
        <w:t>including those of the Departments</w:t>
      </w:r>
      <w:r w:rsidR="00E96678" w:rsidRPr="00762CFC">
        <w:rPr>
          <w:rFonts w:ascii="Times New Roman" w:eastAsia="Times New Roman" w:hAnsi="Times New Roman" w:cs="Times New Roman"/>
          <w:sz w:val="24"/>
          <w:szCs w:val="24"/>
        </w:rPr>
        <w:t>)</w:t>
      </w:r>
      <w:r w:rsidR="00E0577E" w:rsidRPr="00762CFC">
        <w:rPr>
          <w:rFonts w:ascii="Times New Roman" w:eastAsia="Times New Roman" w:hAnsi="Times New Roman" w:cs="Times New Roman"/>
          <w:sz w:val="24"/>
          <w:szCs w:val="24"/>
        </w:rPr>
        <w:t>, the suit was nonetheless barred by sovereign immunity</w:t>
      </w:r>
      <w:r w:rsidR="00D439E7" w:rsidRPr="00762CFC">
        <w:rPr>
          <w:rFonts w:ascii="Times New Roman" w:eastAsia="Times New Roman" w:hAnsi="Times New Roman" w:cs="Times New Roman"/>
          <w:sz w:val="24"/>
          <w:szCs w:val="24"/>
        </w:rPr>
        <w:t xml:space="preserve"> pursuant to </w:t>
      </w:r>
      <w:r w:rsidR="00E96678" w:rsidRPr="00762CFC">
        <w:rPr>
          <w:rFonts w:ascii="Times New Roman" w:eastAsia="Times New Roman" w:hAnsi="Times New Roman" w:cs="Times New Roman"/>
          <w:sz w:val="24"/>
          <w:szCs w:val="24"/>
        </w:rPr>
        <w:t xml:space="preserve">the law of </w:t>
      </w:r>
      <w:r w:rsidR="00D439E7" w:rsidRPr="00762CFC">
        <w:rPr>
          <w:rFonts w:ascii="Times New Roman" w:eastAsia="Times New Roman" w:hAnsi="Times New Roman" w:cs="Times New Roman"/>
          <w:sz w:val="24"/>
          <w:szCs w:val="24"/>
        </w:rPr>
        <w:t xml:space="preserve">cases like </w:t>
      </w:r>
      <w:r w:rsidR="00D439E7" w:rsidRPr="00762CFC">
        <w:rPr>
          <w:rFonts w:ascii="Times New Roman" w:eastAsia="Times New Roman" w:hAnsi="Times New Roman" w:cs="Times New Roman"/>
          <w:sz w:val="24"/>
          <w:szCs w:val="24"/>
          <w:u w:val="single"/>
        </w:rPr>
        <w:t>Ga. Dept. of Nat’l Res. v. Ctr. For a Sustainable Coast</w:t>
      </w:r>
      <w:r w:rsidR="00D439E7" w:rsidRPr="00762CFC">
        <w:rPr>
          <w:rFonts w:ascii="Times New Roman" w:eastAsia="Times New Roman" w:hAnsi="Times New Roman" w:cs="Times New Roman"/>
          <w:sz w:val="24"/>
          <w:szCs w:val="24"/>
        </w:rPr>
        <w:t>, 294 Ga. 593, 755 S.E. 2d 184 (2014)</w:t>
      </w:r>
      <w:r w:rsidR="00CE47B8" w:rsidRPr="00762CFC">
        <w:rPr>
          <w:rFonts w:ascii="Times New Roman" w:eastAsia="Times New Roman" w:hAnsi="Times New Roman" w:cs="Times New Roman"/>
          <w:sz w:val="24"/>
          <w:szCs w:val="24"/>
        </w:rPr>
        <w:t xml:space="preserve"> (holding that the doctrine of </w:t>
      </w:r>
      <w:r w:rsidR="00CE47B8" w:rsidRPr="00762CFC">
        <w:rPr>
          <w:rFonts w:ascii="Times New Roman" w:hAnsi="Times New Roman" w:cs="Times New Roman"/>
          <w:color w:val="000000"/>
          <w:sz w:val="24"/>
          <w:szCs w:val="24"/>
          <w:shd w:val="clear" w:color="auto" w:fill="FFFFFF"/>
        </w:rPr>
        <w:t>sovereign immunity bars injunctive relief against the State at common law</w:t>
      </w:r>
      <w:r w:rsidR="00856838" w:rsidRPr="00762CFC">
        <w:rPr>
          <w:rFonts w:ascii="Times New Roman" w:hAnsi="Times New Roman" w:cs="Times New Roman"/>
          <w:color w:val="000000"/>
          <w:sz w:val="24"/>
          <w:szCs w:val="24"/>
          <w:shd w:val="clear" w:color="auto" w:fill="FFFFFF"/>
        </w:rPr>
        <w:t xml:space="preserve"> and noting that the appropriate relief in this case would have been to seek injunctive relief against the individual state officers</w:t>
      </w:r>
      <w:r w:rsidR="00CE47B8" w:rsidRPr="00762CFC">
        <w:rPr>
          <w:rFonts w:ascii="Times New Roman" w:hAnsi="Times New Roman" w:cs="Times New Roman"/>
          <w:color w:val="000000"/>
          <w:sz w:val="24"/>
          <w:szCs w:val="24"/>
          <w:shd w:val="clear" w:color="auto" w:fill="FFFFFF"/>
        </w:rPr>
        <w:t>).</w:t>
      </w:r>
      <w:r w:rsidR="00CE47B8" w:rsidRPr="00762CFC">
        <w:rPr>
          <w:rStyle w:val="FootnoteReference"/>
          <w:rFonts w:ascii="Times New Roman" w:hAnsi="Times New Roman" w:cs="Times New Roman"/>
          <w:color w:val="000000"/>
          <w:sz w:val="24"/>
          <w:szCs w:val="24"/>
          <w:shd w:val="clear" w:color="auto" w:fill="FFFFFF"/>
        </w:rPr>
        <w:footnoteReference w:id="17"/>
      </w:r>
      <w:r w:rsidR="00CE47B8" w:rsidRPr="00762CFC">
        <w:rPr>
          <w:rFonts w:ascii="Times New Roman" w:hAnsi="Times New Roman" w:cs="Times New Roman"/>
          <w:color w:val="000000"/>
          <w:sz w:val="24"/>
          <w:szCs w:val="24"/>
          <w:shd w:val="clear" w:color="auto" w:fill="FFFFFF"/>
        </w:rPr>
        <w:t xml:space="preserve"> </w:t>
      </w:r>
    </w:p>
    <w:p w:rsidR="003922D0" w:rsidRPr="00762CFC" w:rsidRDefault="00A07445"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lastRenderedPageBreak/>
        <w:t xml:space="preserve">The </w:t>
      </w:r>
      <w:r w:rsidRPr="00075A0D">
        <w:rPr>
          <w:rFonts w:ascii="Times New Roman" w:eastAsia="Times New Roman" w:hAnsi="Times New Roman" w:cs="Times New Roman"/>
          <w:sz w:val="24"/>
          <w:szCs w:val="24"/>
          <w:u w:val="single"/>
        </w:rPr>
        <w:t>TDGA</w:t>
      </w:r>
      <w:r w:rsidRPr="00762CFC">
        <w:rPr>
          <w:rFonts w:ascii="Times New Roman" w:eastAsia="Times New Roman" w:hAnsi="Times New Roman" w:cs="Times New Roman"/>
          <w:sz w:val="24"/>
          <w:szCs w:val="24"/>
        </w:rPr>
        <w:t xml:space="preserve"> court noted that </w:t>
      </w:r>
      <w:r w:rsidR="00E94FFF" w:rsidRPr="00762CFC">
        <w:rPr>
          <w:rFonts w:ascii="Times New Roman" w:eastAsia="Times New Roman" w:hAnsi="Times New Roman" w:cs="Times New Roman"/>
          <w:sz w:val="24"/>
          <w:szCs w:val="24"/>
        </w:rPr>
        <w:t>the Georgia Constitution’s s</w:t>
      </w:r>
      <w:r w:rsidRPr="00762CFC">
        <w:rPr>
          <w:rFonts w:ascii="Times New Roman" w:eastAsia="Times New Roman" w:hAnsi="Times New Roman" w:cs="Times New Roman"/>
          <w:sz w:val="24"/>
          <w:szCs w:val="24"/>
        </w:rPr>
        <w:t>overeign immunity</w:t>
      </w:r>
      <w:r w:rsidR="00E94FFF" w:rsidRPr="00762CFC">
        <w:rPr>
          <w:rFonts w:ascii="Times New Roman" w:eastAsia="Times New Roman" w:hAnsi="Times New Roman" w:cs="Times New Roman"/>
          <w:sz w:val="24"/>
          <w:szCs w:val="24"/>
        </w:rPr>
        <w:t xml:space="preserve"> clause</w:t>
      </w:r>
      <w:r w:rsidRPr="00762CFC">
        <w:rPr>
          <w:rFonts w:ascii="Times New Roman" w:eastAsia="Times New Roman" w:hAnsi="Times New Roman" w:cs="Times New Roman"/>
          <w:sz w:val="24"/>
          <w:szCs w:val="24"/>
        </w:rPr>
        <w:t xml:space="preserve"> does preclude </w:t>
      </w:r>
      <w:r w:rsidR="00E94FFF" w:rsidRPr="00762CFC">
        <w:rPr>
          <w:rFonts w:ascii="Times New Roman" w:eastAsia="Times New Roman" w:hAnsi="Times New Roman" w:cs="Times New Roman"/>
          <w:sz w:val="24"/>
          <w:szCs w:val="24"/>
        </w:rPr>
        <w:t>“</w:t>
      </w:r>
      <w:r w:rsidRPr="00762CFC">
        <w:rPr>
          <w:rFonts w:ascii="Times New Roman" w:eastAsia="Times New Roman" w:hAnsi="Times New Roman" w:cs="Times New Roman"/>
          <w:sz w:val="24"/>
          <w:szCs w:val="24"/>
        </w:rPr>
        <w:t>actions or claims against the state and its departments, agencies, officers and employees.”</w:t>
      </w:r>
      <w:r w:rsidR="00F5779B" w:rsidRPr="00762CFC">
        <w:rPr>
          <w:rStyle w:val="FootnoteReference"/>
          <w:rFonts w:ascii="Times New Roman" w:eastAsia="Times New Roman" w:hAnsi="Times New Roman" w:cs="Times New Roman"/>
          <w:sz w:val="24"/>
          <w:szCs w:val="24"/>
        </w:rPr>
        <w:footnoteReference w:id="18"/>
      </w:r>
      <w:r w:rsidRPr="00762CFC">
        <w:rPr>
          <w:rFonts w:ascii="Times New Roman" w:eastAsia="Times New Roman" w:hAnsi="Times New Roman" w:cs="Times New Roman"/>
          <w:sz w:val="24"/>
          <w:szCs w:val="24"/>
        </w:rPr>
        <w:t xml:space="preserve">  </w:t>
      </w:r>
      <w:r w:rsidR="00E94FFF" w:rsidRPr="00762CFC">
        <w:rPr>
          <w:rFonts w:ascii="Times New Roman" w:eastAsia="Times New Roman" w:hAnsi="Times New Roman" w:cs="Times New Roman"/>
          <w:sz w:val="24"/>
          <w:szCs w:val="24"/>
        </w:rPr>
        <w:t xml:space="preserve">Thus, according to the </w:t>
      </w:r>
      <w:r w:rsidR="00E94FFF" w:rsidRPr="00762CFC">
        <w:rPr>
          <w:rFonts w:ascii="Times New Roman" w:eastAsia="Times New Roman" w:hAnsi="Times New Roman" w:cs="Times New Roman"/>
          <w:sz w:val="24"/>
          <w:szCs w:val="24"/>
          <w:u w:val="single"/>
        </w:rPr>
        <w:t>TDGA</w:t>
      </w:r>
      <w:r w:rsidR="00E94FFF" w:rsidRPr="00762CFC">
        <w:rPr>
          <w:rFonts w:ascii="Times New Roman" w:eastAsia="Times New Roman" w:hAnsi="Times New Roman" w:cs="Times New Roman"/>
          <w:sz w:val="24"/>
          <w:szCs w:val="24"/>
        </w:rPr>
        <w:t xml:space="preserve"> court, in the most general sense, the State and its agencies are immune from suit unless the Legislature provides otherwise.</w:t>
      </w:r>
      <w:r w:rsidR="00084DC7" w:rsidRPr="00762CFC">
        <w:rPr>
          <w:rStyle w:val="FootnoteReference"/>
          <w:rFonts w:ascii="Times New Roman" w:eastAsia="Times New Roman" w:hAnsi="Times New Roman" w:cs="Times New Roman"/>
          <w:sz w:val="24"/>
          <w:szCs w:val="24"/>
        </w:rPr>
        <w:footnoteReference w:id="19"/>
      </w:r>
      <w:r w:rsidR="003922D0" w:rsidRPr="00762CFC">
        <w:rPr>
          <w:rFonts w:ascii="Times New Roman" w:eastAsia="Times New Roman" w:hAnsi="Times New Roman" w:cs="Times New Roman"/>
          <w:sz w:val="24"/>
          <w:szCs w:val="24"/>
        </w:rPr>
        <w:t xml:space="preserve">  However, </w:t>
      </w:r>
      <w:r w:rsidR="00084DC7" w:rsidRPr="00762CFC">
        <w:rPr>
          <w:rFonts w:ascii="Times New Roman" w:eastAsia="Times New Roman" w:hAnsi="Times New Roman" w:cs="Times New Roman"/>
          <w:sz w:val="24"/>
          <w:szCs w:val="24"/>
        </w:rPr>
        <w:t xml:space="preserve">the </w:t>
      </w:r>
      <w:r w:rsidR="00084DC7" w:rsidRPr="00075A0D">
        <w:rPr>
          <w:rFonts w:ascii="Times New Roman" w:eastAsia="Times New Roman" w:hAnsi="Times New Roman" w:cs="Times New Roman"/>
          <w:sz w:val="24"/>
          <w:szCs w:val="24"/>
          <w:u w:val="single"/>
        </w:rPr>
        <w:t>TDGA</w:t>
      </w:r>
      <w:r w:rsidR="00084DC7" w:rsidRPr="00762CFC">
        <w:rPr>
          <w:rFonts w:ascii="Times New Roman" w:eastAsia="Times New Roman" w:hAnsi="Times New Roman" w:cs="Times New Roman"/>
          <w:sz w:val="24"/>
          <w:szCs w:val="24"/>
        </w:rPr>
        <w:t xml:space="preserve"> court also found that the concept of sovereign immunity </w:t>
      </w:r>
      <w:r w:rsidR="003922D0" w:rsidRPr="00762CFC">
        <w:rPr>
          <w:rFonts w:ascii="Times New Roman" w:eastAsia="Times New Roman" w:hAnsi="Times New Roman" w:cs="Times New Roman"/>
          <w:sz w:val="24"/>
          <w:szCs w:val="24"/>
        </w:rPr>
        <w:t xml:space="preserve">does NOT mean that </w:t>
      </w:r>
      <w:r w:rsidR="00E0577E" w:rsidRPr="00762CFC">
        <w:rPr>
          <w:rFonts w:ascii="Times New Roman" w:eastAsia="Times New Roman" w:hAnsi="Times New Roman" w:cs="Times New Roman"/>
          <w:sz w:val="24"/>
          <w:szCs w:val="24"/>
        </w:rPr>
        <w:t xml:space="preserve">Georgia law </w:t>
      </w:r>
      <w:r w:rsidR="003922D0" w:rsidRPr="00762CFC">
        <w:rPr>
          <w:rFonts w:ascii="Times New Roman" w:eastAsia="Times New Roman" w:hAnsi="Times New Roman" w:cs="Times New Roman"/>
          <w:sz w:val="24"/>
          <w:szCs w:val="24"/>
        </w:rPr>
        <w:t xml:space="preserve">fails to </w:t>
      </w:r>
      <w:r w:rsidR="00E0577E" w:rsidRPr="00762CFC">
        <w:rPr>
          <w:rFonts w:ascii="Times New Roman" w:eastAsia="Times New Roman" w:hAnsi="Times New Roman" w:cs="Times New Roman"/>
          <w:sz w:val="24"/>
          <w:szCs w:val="24"/>
        </w:rPr>
        <w:t>provide a mechanism for quieting title against all potential claimants, including the State.</w:t>
      </w:r>
      <w:r w:rsidR="00084DC7" w:rsidRPr="00762CFC">
        <w:rPr>
          <w:rStyle w:val="FootnoteReference"/>
          <w:rFonts w:ascii="Times New Roman" w:eastAsia="Times New Roman" w:hAnsi="Times New Roman" w:cs="Times New Roman"/>
          <w:sz w:val="24"/>
          <w:szCs w:val="24"/>
        </w:rPr>
        <w:footnoteReference w:id="20"/>
      </w:r>
      <w:r w:rsidR="00E0577E" w:rsidRPr="00762CFC">
        <w:rPr>
          <w:rFonts w:ascii="Times New Roman" w:eastAsia="Times New Roman" w:hAnsi="Times New Roman" w:cs="Times New Roman"/>
          <w:sz w:val="24"/>
          <w:szCs w:val="24"/>
        </w:rPr>
        <w:t xml:space="preserve">  </w:t>
      </w:r>
    </w:p>
    <w:p w:rsidR="00E0577E" w:rsidRPr="00762CFC" w:rsidRDefault="00E0577E"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 xml:space="preserve">A quiet title action under O.C.G.A. § 23–3–60 is </w:t>
      </w:r>
      <w:r w:rsidR="003922D0" w:rsidRPr="00762CFC">
        <w:rPr>
          <w:rFonts w:ascii="Times New Roman" w:eastAsia="Times New Roman" w:hAnsi="Times New Roman" w:cs="Times New Roman"/>
          <w:sz w:val="24"/>
          <w:szCs w:val="24"/>
        </w:rPr>
        <w:t xml:space="preserve">an </w:t>
      </w:r>
      <w:r w:rsidRPr="00762CFC">
        <w:rPr>
          <w:rFonts w:ascii="Times New Roman" w:eastAsia="Times New Roman" w:hAnsi="Times New Roman" w:cs="Times New Roman"/>
          <w:i/>
          <w:sz w:val="24"/>
          <w:szCs w:val="24"/>
        </w:rPr>
        <w:t>in rem</w:t>
      </w:r>
      <w:r w:rsidR="003922D0" w:rsidRPr="00762CFC">
        <w:rPr>
          <w:rFonts w:ascii="Times New Roman" w:eastAsia="Times New Roman" w:hAnsi="Times New Roman" w:cs="Times New Roman"/>
          <w:sz w:val="24"/>
          <w:szCs w:val="24"/>
        </w:rPr>
        <w:t xml:space="preserve"> action.  Such a suit is </w:t>
      </w:r>
      <w:r w:rsidRPr="00762CFC">
        <w:rPr>
          <w:rFonts w:ascii="Times New Roman" w:eastAsia="Times New Roman" w:hAnsi="Times New Roman" w:cs="Times New Roman"/>
          <w:sz w:val="24"/>
          <w:szCs w:val="24"/>
          <w:u w:val="single"/>
        </w:rPr>
        <w:t>not</w:t>
      </w:r>
      <w:r w:rsidRPr="00762CFC">
        <w:rPr>
          <w:rFonts w:ascii="Times New Roman" w:eastAsia="Times New Roman" w:hAnsi="Times New Roman" w:cs="Times New Roman"/>
          <w:sz w:val="24"/>
          <w:szCs w:val="24"/>
        </w:rPr>
        <w:t xml:space="preserve"> an action against the State or any other person or entity; it is an action against the underlying property, itself, </w:t>
      </w:r>
      <w:r w:rsidR="003922D0" w:rsidRPr="00762CFC">
        <w:rPr>
          <w:rFonts w:ascii="Times New Roman" w:eastAsia="Times New Roman" w:hAnsi="Times New Roman" w:cs="Times New Roman"/>
          <w:sz w:val="24"/>
          <w:szCs w:val="24"/>
        </w:rPr>
        <w:t xml:space="preserve">the </w:t>
      </w:r>
      <w:r w:rsidRPr="00762CFC">
        <w:rPr>
          <w:rFonts w:ascii="Times New Roman" w:eastAsia="Times New Roman" w:hAnsi="Times New Roman" w:cs="Times New Roman"/>
          <w:sz w:val="24"/>
          <w:szCs w:val="24"/>
        </w:rPr>
        <w:t xml:space="preserve">purpose </w:t>
      </w:r>
      <w:r w:rsidR="003922D0" w:rsidRPr="00762CFC">
        <w:rPr>
          <w:rFonts w:ascii="Times New Roman" w:eastAsia="Times New Roman" w:hAnsi="Times New Roman" w:cs="Times New Roman"/>
          <w:sz w:val="24"/>
          <w:szCs w:val="24"/>
        </w:rPr>
        <w:t xml:space="preserve">of which </w:t>
      </w:r>
      <w:r w:rsidRPr="00762CFC">
        <w:rPr>
          <w:rFonts w:ascii="Times New Roman" w:eastAsia="Times New Roman" w:hAnsi="Times New Roman" w:cs="Times New Roman"/>
          <w:sz w:val="24"/>
          <w:szCs w:val="24"/>
        </w:rPr>
        <w:t>is to remove any and all clouds on the title of that property.</w:t>
      </w:r>
      <w:r w:rsidR="007C1C60" w:rsidRPr="00762CFC">
        <w:rPr>
          <w:rStyle w:val="FootnoteReference"/>
          <w:rFonts w:ascii="Times New Roman" w:eastAsia="Times New Roman" w:hAnsi="Times New Roman" w:cs="Times New Roman"/>
          <w:sz w:val="24"/>
          <w:szCs w:val="24"/>
        </w:rPr>
        <w:footnoteReference w:id="21"/>
      </w:r>
      <w:r w:rsidR="007C1C60" w:rsidRPr="00762CFC">
        <w:rPr>
          <w:rFonts w:ascii="Times New Roman" w:eastAsia="Times New Roman" w:hAnsi="Times New Roman" w:cs="Times New Roman"/>
          <w:sz w:val="24"/>
          <w:szCs w:val="24"/>
        </w:rPr>
        <w:t xml:space="preserve">  </w:t>
      </w:r>
      <w:r w:rsidRPr="00762CFC">
        <w:rPr>
          <w:rFonts w:ascii="Times New Roman" w:eastAsia="Times New Roman" w:hAnsi="Times New Roman" w:cs="Times New Roman"/>
          <w:sz w:val="24"/>
          <w:szCs w:val="24"/>
        </w:rPr>
        <w:t>In an “action in rem,” the named defendan</w:t>
      </w:r>
      <w:r w:rsidR="007C1C60" w:rsidRPr="00762CFC">
        <w:rPr>
          <w:rFonts w:ascii="Times New Roman" w:eastAsia="Times New Roman" w:hAnsi="Times New Roman" w:cs="Times New Roman"/>
          <w:sz w:val="24"/>
          <w:szCs w:val="24"/>
        </w:rPr>
        <w:t xml:space="preserve">t is real or personal property.  </w:t>
      </w:r>
      <w:r w:rsidRPr="00762CFC">
        <w:rPr>
          <w:rFonts w:ascii="Times New Roman" w:eastAsia="Times New Roman" w:hAnsi="Times New Roman" w:cs="Times New Roman"/>
          <w:sz w:val="24"/>
          <w:szCs w:val="24"/>
        </w:rPr>
        <w:t>So, by its very nature, an in rem quiet title action is not subject to sovereign immunity because it does not involve a claim against the State, though the State may certainly make a claim to the property in question during the pendency of the quiet title action.</w:t>
      </w:r>
      <w:r w:rsidR="00417DE2" w:rsidRPr="00762CFC">
        <w:rPr>
          <w:rStyle w:val="FootnoteReference"/>
          <w:rFonts w:ascii="Times New Roman" w:eastAsia="Times New Roman" w:hAnsi="Times New Roman" w:cs="Times New Roman"/>
          <w:sz w:val="24"/>
          <w:szCs w:val="24"/>
        </w:rPr>
        <w:footnoteReference w:id="22"/>
      </w:r>
    </w:p>
    <w:p w:rsidR="00417DE2" w:rsidRPr="00762CFC" w:rsidRDefault="00417DE2"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ab/>
      </w:r>
      <w:r w:rsidR="001814D7" w:rsidRPr="00762CFC">
        <w:rPr>
          <w:rFonts w:ascii="Times New Roman" w:eastAsia="Times New Roman" w:hAnsi="Times New Roman" w:cs="Times New Roman"/>
          <w:sz w:val="24"/>
          <w:szCs w:val="24"/>
        </w:rPr>
        <w:t xml:space="preserve">The TDGA court went on to opine that </w:t>
      </w:r>
    </w:p>
    <w:p w:rsidR="001814D7" w:rsidRPr="00762CFC" w:rsidRDefault="001814D7" w:rsidP="002B3299">
      <w:pPr>
        <w:spacing w:after="0" w:line="240" w:lineRule="auto"/>
        <w:ind w:left="1440" w:right="1440" w:hanging="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ab/>
        <w:t>For the purposes of clearing title to any piece of property, it is necessary to include a full consideration of the State’s rights, if any, because “title to all lands originates  . . . from the state[,]” . . . and “all [r]ealty in this state is held under the state as the original owner thereof”</w:t>
      </w:r>
      <w:r w:rsidR="00E362C8" w:rsidRPr="00762CFC">
        <w:rPr>
          <w:rFonts w:ascii="Times New Roman" w:eastAsia="Times New Roman" w:hAnsi="Times New Roman" w:cs="Times New Roman"/>
          <w:sz w:val="24"/>
          <w:szCs w:val="24"/>
        </w:rPr>
        <w:t xml:space="preserve"> [</w:t>
      </w:r>
      <w:r w:rsidR="00860FA7" w:rsidRPr="00762CFC">
        <w:rPr>
          <w:rFonts w:ascii="Times New Roman" w:eastAsia="Times New Roman" w:hAnsi="Times New Roman" w:cs="Times New Roman"/>
          <w:sz w:val="24"/>
          <w:szCs w:val="24"/>
        </w:rPr>
        <w:t>i</w:t>
      </w:r>
      <w:r w:rsidR="00E362C8" w:rsidRPr="00762CFC">
        <w:rPr>
          <w:rFonts w:ascii="Times New Roman" w:eastAsia="Times New Roman" w:hAnsi="Times New Roman" w:cs="Times New Roman"/>
          <w:sz w:val="24"/>
          <w:szCs w:val="24"/>
        </w:rPr>
        <w:t>nternal citations omitted].</w:t>
      </w:r>
      <w:r w:rsidR="00860FA7" w:rsidRPr="00762CFC">
        <w:rPr>
          <w:rFonts w:ascii="Times New Roman" w:eastAsia="Times New Roman" w:hAnsi="Times New Roman" w:cs="Times New Roman"/>
          <w:sz w:val="24"/>
          <w:szCs w:val="24"/>
        </w:rPr>
        <w:t xml:space="preserve">  But the State cannot assert title to otherwise privately-held land simply by issuing an edict or imposing a lien that cannot be effectively challenged and impairs the </w:t>
      </w:r>
      <w:r w:rsidR="003E5EF5" w:rsidRPr="00762CFC">
        <w:rPr>
          <w:rFonts w:ascii="Times New Roman" w:eastAsia="Times New Roman" w:hAnsi="Times New Roman" w:cs="Times New Roman"/>
          <w:sz w:val="24"/>
          <w:szCs w:val="24"/>
        </w:rPr>
        <w:t xml:space="preserve">marketability of the property.  </w:t>
      </w:r>
      <w:r w:rsidR="00860FA7" w:rsidRPr="00762CFC">
        <w:rPr>
          <w:rFonts w:ascii="Times New Roman" w:eastAsia="Times New Roman" w:hAnsi="Times New Roman" w:cs="Times New Roman"/>
          <w:sz w:val="24"/>
          <w:szCs w:val="24"/>
        </w:rPr>
        <w:t>I</w:t>
      </w:r>
      <w:r w:rsidR="003E5EF5" w:rsidRPr="00762CFC">
        <w:rPr>
          <w:rFonts w:ascii="Times New Roman" w:eastAsia="Times New Roman" w:hAnsi="Times New Roman" w:cs="Times New Roman"/>
          <w:sz w:val="24"/>
          <w:szCs w:val="24"/>
        </w:rPr>
        <w:t>n</w:t>
      </w:r>
      <w:r w:rsidR="00860FA7" w:rsidRPr="00762CFC">
        <w:rPr>
          <w:rFonts w:ascii="Times New Roman" w:eastAsia="Times New Roman" w:hAnsi="Times New Roman" w:cs="Times New Roman"/>
          <w:sz w:val="24"/>
          <w:szCs w:val="24"/>
        </w:rPr>
        <w:t xml:space="preserve"> rem quiet title actions, in which the property is the only defendant and sovereign immunity is not applicable, prevent this problem.</w:t>
      </w:r>
      <w:r w:rsidR="00E362C8" w:rsidRPr="00762CFC">
        <w:rPr>
          <w:rStyle w:val="FootnoteReference"/>
          <w:rFonts w:ascii="Times New Roman" w:eastAsia="Times New Roman" w:hAnsi="Times New Roman" w:cs="Times New Roman"/>
          <w:sz w:val="24"/>
          <w:szCs w:val="24"/>
        </w:rPr>
        <w:footnoteReference w:id="23"/>
      </w:r>
    </w:p>
    <w:p w:rsidR="00C24896" w:rsidRPr="00762CFC" w:rsidRDefault="00C24896" w:rsidP="002B3299">
      <w:pPr>
        <w:spacing w:before="120" w:after="0" w:line="360" w:lineRule="auto"/>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Justice</w:t>
      </w:r>
      <w:r w:rsidR="0082194C" w:rsidRPr="00762CFC">
        <w:rPr>
          <w:rFonts w:ascii="Times New Roman" w:eastAsia="Times New Roman" w:hAnsi="Times New Roman" w:cs="Times New Roman"/>
          <w:sz w:val="24"/>
          <w:szCs w:val="24"/>
        </w:rPr>
        <w:t xml:space="preserve"> Nahmias, concurring, further noted that the Land Registration Law of 1917, </w:t>
      </w:r>
      <w:r w:rsidR="003A6339" w:rsidRPr="00762CFC">
        <w:rPr>
          <w:rFonts w:ascii="Times New Roman" w:eastAsia="Times New Roman" w:hAnsi="Times New Roman" w:cs="Times New Roman"/>
          <w:sz w:val="24"/>
          <w:szCs w:val="24"/>
        </w:rPr>
        <w:t>O.C.G.A. §§ 44-2-40 to 44-2-253,</w:t>
      </w:r>
      <w:r w:rsidR="003F0D0F" w:rsidRPr="00762CFC">
        <w:rPr>
          <w:rFonts w:ascii="Times New Roman" w:eastAsia="Times New Roman" w:hAnsi="Times New Roman" w:cs="Times New Roman"/>
          <w:sz w:val="24"/>
          <w:szCs w:val="24"/>
        </w:rPr>
        <w:t xml:space="preserve"> </w:t>
      </w:r>
      <w:r w:rsidR="0082194C" w:rsidRPr="00762CFC">
        <w:rPr>
          <w:rFonts w:ascii="Times New Roman" w:eastAsia="Times New Roman" w:hAnsi="Times New Roman" w:cs="Times New Roman"/>
          <w:sz w:val="24"/>
          <w:szCs w:val="24"/>
        </w:rPr>
        <w:t>a little known and little used</w:t>
      </w:r>
      <w:r w:rsidR="003A6339" w:rsidRPr="00762CFC">
        <w:rPr>
          <w:rFonts w:ascii="Times New Roman" w:eastAsia="Times New Roman" w:hAnsi="Times New Roman" w:cs="Times New Roman"/>
          <w:sz w:val="24"/>
          <w:szCs w:val="24"/>
        </w:rPr>
        <w:t xml:space="preserve"> equitable relief statute</w:t>
      </w:r>
      <w:r w:rsidR="000B0D06" w:rsidRPr="00762CFC">
        <w:rPr>
          <w:rFonts w:ascii="Times New Roman" w:eastAsia="Times New Roman" w:hAnsi="Times New Roman" w:cs="Times New Roman"/>
          <w:sz w:val="24"/>
          <w:szCs w:val="24"/>
        </w:rPr>
        <w:t xml:space="preserve"> that is actually found in the property code</w:t>
      </w:r>
      <w:r w:rsidR="003A6339" w:rsidRPr="00762CFC">
        <w:rPr>
          <w:rFonts w:ascii="Times New Roman" w:eastAsia="Times New Roman" w:hAnsi="Times New Roman" w:cs="Times New Roman"/>
          <w:sz w:val="24"/>
          <w:szCs w:val="24"/>
        </w:rPr>
        <w:t xml:space="preserve">, establishes a proceeding </w:t>
      </w:r>
      <w:r w:rsidR="003A6339" w:rsidRPr="00762CFC">
        <w:rPr>
          <w:rFonts w:ascii="Times New Roman" w:eastAsia="Times New Roman" w:hAnsi="Times New Roman" w:cs="Times New Roman"/>
          <w:i/>
          <w:sz w:val="24"/>
          <w:szCs w:val="24"/>
        </w:rPr>
        <w:t>in rem</w:t>
      </w:r>
      <w:r w:rsidR="003A6339" w:rsidRPr="00762CFC">
        <w:rPr>
          <w:rFonts w:ascii="Times New Roman" w:eastAsia="Times New Roman" w:hAnsi="Times New Roman" w:cs="Times New Roman"/>
          <w:sz w:val="24"/>
          <w:szCs w:val="24"/>
        </w:rPr>
        <w:t xml:space="preserve"> against the land at issue with the Court’s decree operating as to all those who are parties either by name or under the general designation </w:t>
      </w:r>
      <w:r w:rsidR="003A6339" w:rsidRPr="00762CFC">
        <w:rPr>
          <w:rFonts w:ascii="Times New Roman" w:eastAsia="Times New Roman" w:hAnsi="Times New Roman" w:cs="Times New Roman"/>
          <w:sz w:val="24"/>
          <w:szCs w:val="24"/>
        </w:rPr>
        <w:lastRenderedPageBreak/>
        <w:t>of “whom it may concern</w:t>
      </w:r>
      <w:r w:rsidR="003F0D0F" w:rsidRPr="00762CFC">
        <w:rPr>
          <w:rFonts w:ascii="Times New Roman" w:eastAsia="Times New Roman" w:hAnsi="Times New Roman" w:cs="Times New Roman"/>
          <w:sz w:val="24"/>
          <w:szCs w:val="24"/>
        </w:rPr>
        <w:t>.</w:t>
      </w:r>
      <w:r w:rsidR="003A6339" w:rsidRPr="00762CFC">
        <w:rPr>
          <w:rFonts w:ascii="Times New Roman" w:eastAsia="Times New Roman" w:hAnsi="Times New Roman" w:cs="Times New Roman"/>
          <w:sz w:val="24"/>
          <w:szCs w:val="24"/>
        </w:rPr>
        <w:t>”</w:t>
      </w:r>
      <w:r w:rsidR="003F0D0F" w:rsidRPr="00762CFC">
        <w:rPr>
          <w:rStyle w:val="FootnoteReference"/>
          <w:rFonts w:ascii="Times New Roman" w:eastAsia="Times New Roman" w:hAnsi="Times New Roman" w:cs="Times New Roman"/>
          <w:sz w:val="24"/>
          <w:szCs w:val="24"/>
        </w:rPr>
        <w:footnoteReference w:id="24"/>
      </w:r>
      <w:r w:rsidR="003F0D0F" w:rsidRPr="00762CFC">
        <w:rPr>
          <w:rFonts w:ascii="Times New Roman" w:eastAsia="Times New Roman" w:hAnsi="Times New Roman" w:cs="Times New Roman"/>
          <w:sz w:val="24"/>
          <w:szCs w:val="24"/>
        </w:rPr>
        <w:t xml:space="preserve">  The statutory language regarding who is bound by the judgment in such a proceeding is broad and expressly includes the State.</w:t>
      </w:r>
      <w:r w:rsidR="003F0D0F" w:rsidRPr="00762CFC">
        <w:rPr>
          <w:rStyle w:val="FootnoteReference"/>
          <w:rFonts w:ascii="Times New Roman" w:eastAsia="Times New Roman" w:hAnsi="Times New Roman" w:cs="Times New Roman"/>
          <w:sz w:val="24"/>
          <w:szCs w:val="24"/>
        </w:rPr>
        <w:footnoteReference w:id="25"/>
      </w:r>
      <w:r w:rsidR="0082194C" w:rsidRPr="00762CFC">
        <w:rPr>
          <w:rFonts w:ascii="Times New Roman" w:eastAsia="Times New Roman" w:hAnsi="Times New Roman" w:cs="Times New Roman"/>
          <w:sz w:val="24"/>
          <w:szCs w:val="24"/>
        </w:rPr>
        <w:t xml:space="preserve"> </w:t>
      </w:r>
    </w:p>
    <w:p w:rsidR="001307F6" w:rsidRPr="00762CFC" w:rsidRDefault="002C2C0E" w:rsidP="00BB2219">
      <w:pPr>
        <w:pStyle w:val="ListParagraph"/>
        <w:numPr>
          <w:ilvl w:val="0"/>
          <w:numId w:val="3"/>
        </w:numPr>
        <w:spacing w:after="120" w:line="240" w:lineRule="auto"/>
        <w:ind w:left="1440" w:hanging="720"/>
        <w:rPr>
          <w:rFonts w:ascii="Times New Roman" w:eastAsia="Times New Roman" w:hAnsi="Times New Roman" w:cs="Times New Roman"/>
          <w:b/>
          <w:sz w:val="24"/>
          <w:szCs w:val="24"/>
        </w:rPr>
      </w:pPr>
      <w:r w:rsidRPr="00762CFC">
        <w:rPr>
          <w:rFonts w:ascii="Times New Roman" w:eastAsia="Times New Roman" w:hAnsi="Times New Roman" w:cs="Times New Roman"/>
          <w:b/>
          <w:sz w:val="24"/>
          <w:szCs w:val="24"/>
        </w:rPr>
        <w:t>Counterclaimant</w:t>
      </w:r>
      <w:r w:rsidR="00A95E1F" w:rsidRPr="00762CFC">
        <w:rPr>
          <w:rFonts w:ascii="Times New Roman" w:eastAsia="Times New Roman" w:hAnsi="Times New Roman" w:cs="Times New Roman"/>
          <w:b/>
          <w:sz w:val="24"/>
          <w:szCs w:val="24"/>
        </w:rPr>
        <w:t xml:space="preserve"> sufficiently </w:t>
      </w:r>
      <w:r w:rsidR="00E76C7A" w:rsidRPr="00762CFC">
        <w:rPr>
          <w:rFonts w:ascii="Times New Roman" w:eastAsia="Times New Roman" w:hAnsi="Times New Roman" w:cs="Times New Roman"/>
          <w:b/>
          <w:sz w:val="24"/>
          <w:szCs w:val="24"/>
        </w:rPr>
        <w:t xml:space="preserve">pled </w:t>
      </w:r>
      <w:r w:rsidR="001171E7" w:rsidRPr="00762CFC">
        <w:rPr>
          <w:rFonts w:ascii="Times New Roman" w:eastAsia="Times New Roman" w:hAnsi="Times New Roman" w:cs="Times New Roman"/>
          <w:b/>
          <w:sz w:val="24"/>
          <w:szCs w:val="24"/>
        </w:rPr>
        <w:t xml:space="preserve">elements of </w:t>
      </w:r>
      <w:r w:rsidRPr="00762CFC">
        <w:rPr>
          <w:rFonts w:ascii="Times New Roman" w:eastAsia="Times New Roman" w:hAnsi="Times New Roman" w:cs="Times New Roman"/>
          <w:b/>
          <w:sz w:val="24"/>
          <w:szCs w:val="24"/>
        </w:rPr>
        <w:t xml:space="preserve">quiet title </w:t>
      </w:r>
      <w:r w:rsidR="00E76C7A" w:rsidRPr="00762CFC">
        <w:rPr>
          <w:rFonts w:ascii="Times New Roman" w:eastAsia="Times New Roman" w:hAnsi="Times New Roman" w:cs="Times New Roman"/>
          <w:b/>
          <w:sz w:val="24"/>
          <w:szCs w:val="24"/>
        </w:rPr>
        <w:t>action</w:t>
      </w:r>
      <w:r w:rsidR="00A95E1F" w:rsidRPr="00762CFC">
        <w:rPr>
          <w:rFonts w:ascii="Times New Roman" w:eastAsia="Times New Roman" w:hAnsi="Times New Roman" w:cs="Times New Roman"/>
          <w:b/>
          <w:sz w:val="24"/>
          <w:szCs w:val="24"/>
        </w:rPr>
        <w:t xml:space="preserve"> </w:t>
      </w:r>
      <w:r w:rsidR="00D3099E" w:rsidRPr="00762CFC">
        <w:rPr>
          <w:rFonts w:ascii="Times New Roman" w:eastAsia="Times New Roman" w:hAnsi="Times New Roman" w:cs="Times New Roman"/>
          <w:b/>
          <w:sz w:val="24"/>
          <w:szCs w:val="24"/>
        </w:rPr>
        <w:t xml:space="preserve">against bank for </w:t>
      </w:r>
      <w:r w:rsidR="00A95E1F" w:rsidRPr="00762CFC">
        <w:rPr>
          <w:rFonts w:ascii="Times New Roman" w:eastAsia="Times New Roman" w:hAnsi="Times New Roman" w:cs="Times New Roman"/>
          <w:b/>
          <w:sz w:val="24"/>
          <w:szCs w:val="24"/>
        </w:rPr>
        <w:t xml:space="preserve">alleged </w:t>
      </w:r>
      <w:r w:rsidR="00D3099E" w:rsidRPr="00762CFC">
        <w:rPr>
          <w:rFonts w:ascii="Times New Roman" w:eastAsia="Times New Roman" w:hAnsi="Times New Roman" w:cs="Times New Roman"/>
          <w:b/>
          <w:sz w:val="24"/>
          <w:szCs w:val="24"/>
        </w:rPr>
        <w:t>improper foreclos</w:t>
      </w:r>
      <w:r w:rsidR="001171E7" w:rsidRPr="00762CFC">
        <w:rPr>
          <w:rFonts w:ascii="Times New Roman" w:eastAsia="Times New Roman" w:hAnsi="Times New Roman" w:cs="Times New Roman"/>
          <w:b/>
          <w:sz w:val="24"/>
          <w:szCs w:val="24"/>
        </w:rPr>
        <w:t>ure</w:t>
      </w:r>
      <w:r w:rsidR="00A95E1F" w:rsidRPr="00762CFC">
        <w:rPr>
          <w:rFonts w:ascii="Times New Roman" w:eastAsia="Times New Roman" w:hAnsi="Times New Roman" w:cs="Times New Roman"/>
          <w:b/>
          <w:sz w:val="24"/>
          <w:szCs w:val="24"/>
        </w:rPr>
        <w:t xml:space="preserve"> o</w:t>
      </w:r>
      <w:r w:rsidR="00332CAD" w:rsidRPr="00762CFC">
        <w:rPr>
          <w:rFonts w:ascii="Times New Roman" w:eastAsia="Times New Roman" w:hAnsi="Times New Roman" w:cs="Times New Roman"/>
          <w:b/>
          <w:sz w:val="24"/>
          <w:szCs w:val="24"/>
        </w:rPr>
        <w:t>n</w:t>
      </w:r>
      <w:r w:rsidR="00A95E1F" w:rsidRPr="00762CFC">
        <w:rPr>
          <w:rFonts w:ascii="Times New Roman" w:eastAsia="Times New Roman" w:hAnsi="Times New Roman" w:cs="Times New Roman"/>
          <w:b/>
          <w:sz w:val="24"/>
          <w:szCs w:val="24"/>
        </w:rPr>
        <w:t xml:space="preserve"> property.</w:t>
      </w:r>
    </w:p>
    <w:p w:rsidR="001307F6" w:rsidRPr="00270D6C" w:rsidRDefault="001307F6" w:rsidP="002B3299">
      <w:pPr>
        <w:spacing w:after="0" w:line="360" w:lineRule="auto"/>
        <w:rPr>
          <w:rFonts w:ascii="Times New Roman" w:eastAsia="Times New Roman" w:hAnsi="Times New Roman" w:cs="Times New Roman"/>
          <w:b/>
          <w:sz w:val="24"/>
          <w:szCs w:val="24"/>
        </w:rPr>
      </w:pPr>
      <w:r w:rsidRPr="00270D6C">
        <w:rPr>
          <w:rFonts w:ascii="Times New Roman" w:eastAsia="Times New Roman" w:hAnsi="Times New Roman" w:cs="Times New Roman"/>
          <w:b/>
          <w:sz w:val="24"/>
          <w:szCs w:val="24"/>
          <w:u w:val="single"/>
        </w:rPr>
        <w:t>Cronan v. JP Morgan Chase Bank, N.A.</w:t>
      </w:r>
      <w:r w:rsidRPr="00270D6C">
        <w:rPr>
          <w:rFonts w:ascii="Times New Roman" w:eastAsia="Times New Roman" w:hAnsi="Times New Roman" w:cs="Times New Roman"/>
          <w:b/>
          <w:sz w:val="24"/>
          <w:szCs w:val="24"/>
        </w:rPr>
        <w:t>, 336 Ga. App. 201, 784 S.E.2d 57 (2016)</w:t>
      </w:r>
    </w:p>
    <w:p w:rsidR="00E76C7A" w:rsidRPr="00762CFC" w:rsidRDefault="004B3EF5" w:rsidP="00BB2219">
      <w:pPr>
        <w:spacing w:after="0" w:line="240" w:lineRule="auto"/>
        <w:jc w:val="both"/>
        <w:rPr>
          <w:rFonts w:ascii="Times New Roman" w:eastAsia="Times New Roman" w:hAnsi="Times New Roman" w:cs="Times New Roman"/>
          <w:b/>
          <w:sz w:val="24"/>
          <w:szCs w:val="24"/>
        </w:rPr>
      </w:pPr>
      <w:r w:rsidRPr="00762CFC">
        <w:rPr>
          <w:rFonts w:ascii="Times New Roman" w:eastAsia="Times New Roman" w:hAnsi="Times New Roman" w:cs="Times New Roman"/>
          <w:b/>
          <w:sz w:val="24"/>
          <w:szCs w:val="24"/>
        </w:rPr>
        <w:t>Held:</w:t>
      </w:r>
      <w:r w:rsidRPr="00762CFC">
        <w:rPr>
          <w:rFonts w:ascii="Times New Roman" w:eastAsia="Times New Roman" w:hAnsi="Times New Roman" w:cs="Times New Roman"/>
          <w:b/>
          <w:sz w:val="24"/>
          <w:szCs w:val="24"/>
        </w:rPr>
        <w:tab/>
        <w:t>Mortagee’s counterclaim sufficiently plead elements of quiet title claim such that grant of motion to dismiss was error.</w:t>
      </w:r>
    </w:p>
    <w:p w:rsidR="00BB2219" w:rsidRPr="00762CFC" w:rsidRDefault="00BB2219" w:rsidP="00BB2219">
      <w:pPr>
        <w:spacing w:after="0" w:line="240" w:lineRule="auto"/>
        <w:jc w:val="both"/>
        <w:rPr>
          <w:rFonts w:ascii="Times New Roman" w:eastAsia="Times New Roman" w:hAnsi="Times New Roman" w:cs="Times New Roman"/>
          <w:b/>
          <w:sz w:val="24"/>
          <w:szCs w:val="24"/>
        </w:rPr>
      </w:pPr>
    </w:p>
    <w:p w:rsidR="005F0513" w:rsidRPr="00762CFC" w:rsidRDefault="005F0513"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 xml:space="preserve">Unfortunately, the facts of this case are not terribly uncommon in the context of the vast number of foreclosures </w:t>
      </w:r>
      <w:r w:rsidR="009D43A7" w:rsidRPr="00762CFC">
        <w:rPr>
          <w:rFonts w:ascii="Times New Roman" w:eastAsia="Times New Roman" w:hAnsi="Times New Roman" w:cs="Times New Roman"/>
          <w:sz w:val="24"/>
          <w:szCs w:val="24"/>
        </w:rPr>
        <w:t xml:space="preserve">that occurred at the height of the recent economic crisis.  </w:t>
      </w:r>
      <w:r w:rsidR="003C120D" w:rsidRPr="00762CFC">
        <w:rPr>
          <w:rFonts w:ascii="Times New Roman" w:eastAsia="Times New Roman" w:hAnsi="Times New Roman" w:cs="Times New Roman"/>
          <w:sz w:val="24"/>
          <w:szCs w:val="24"/>
        </w:rPr>
        <w:t xml:space="preserve">In </w:t>
      </w:r>
      <w:r w:rsidR="003C120D" w:rsidRPr="00762CFC">
        <w:rPr>
          <w:rFonts w:ascii="Times New Roman" w:eastAsia="Times New Roman" w:hAnsi="Times New Roman" w:cs="Times New Roman"/>
          <w:sz w:val="24"/>
          <w:szCs w:val="24"/>
          <w:u w:val="single"/>
        </w:rPr>
        <w:t>Cronan</w:t>
      </w:r>
      <w:r w:rsidR="003C120D" w:rsidRPr="00762CFC">
        <w:rPr>
          <w:rFonts w:ascii="Times New Roman" w:eastAsia="Times New Roman" w:hAnsi="Times New Roman" w:cs="Times New Roman"/>
          <w:sz w:val="24"/>
          <w:szCs w:val="24"/>
        </w:rPr>
        <w:t>, an</w:t>
      </w:r>
      <w:r w:rsidR="009D43A7" w:rsidRPr="00762CFC">
        <w:rPr>
          <w:rFonts w:ascii="Times New Roman" w:eastAsia="Times New Roman" w:hAnsi="Times New Roman" w:cs="Times New Roman"/>
          <w:sz w:val="24"/>
          <w:szCs w:val="24"/>
        </w:rPr>
        <w:t xml:space="preserve"> individual mortgagor bought a primary residence in 2010.  </w:t>
      </w:r>
      <w:r w:rsidR="005819F0" w:rsidRPr="00762CFC">
        <w:rPr>
          <w:rFonts w:ascii="Times New Roman" w:eastAsia="Times New Roman" w:hAnsi="Times New Roman" w:cs="Times New Roman"/>
          <w:sz w:val="24"/>
          <w:szCs w:val="24"/>
        </w:rPr>
        <w:t xml:space="preserve">Mortgagor obtained a loan from mortgagee and executed a security deed to secure the debt.  The deed listed a parcel ID number and property address for </w:t>
      </w:r>
      <w:r w:rsidR="00563FDF" w:rsidRPr="00762CFC">
        <w:rPr>
          <w:rFonts w:ascii="Times New Roman" w:eastAsia="Times New Roman" w:hAnsi="Times New Roman" w:cs="Times New Roman"/>
          <w:sz w:val="24"/>
          <w:szCs w:val="24"/>
        </w:rPr>
        <w:t>“2215 Dawnville Beaverdale Road.”</w:t>
      </w:r>
      <w:r w:rsidR="00F51166" w:rsidRPr="00762CFC">
        <w:rPr>
          <w:rStyle w:val="FootnoteReference"/>
          <w:rFonts w:ascii="Times New Roman" w:eastAsia="Times New Roman" w:hAnsi="Times New Roman" w:cs="Times New Roman"/>
          <w:sz w:val="24"/>
          <w:szCs w:val="24"/>
        </w:rPr>
        <w:footnoteReference w:id="26"/>
      </w:r>
      <w:r w:rsidR="00563FDF" w:rsidRPr="00762CFC">
        <w:rPr>
          <w:rFonts w:ascii="Times New Roman" w:eastAsia="Times New Roman" w:hAnsi="Times New Roman" w:cs="Times New Roman"/>
          <w:sz w:val="24"/>
          <w:szCs w:val="24"/>
        </w:rPr>
        <w:t xml:space="preserve">  However, </w:t>
      </w:r>
      <w:r w:rsidR="00756C49" w:rsidRPr="00762CFC">
        <w:rPr>
          <w:rFonts w:ascii="Times New Roman" w:eastAsia="Times New Roman" w:hAnsi="Times New Roman" w:cs="Times New Roman"/>
          <w:sz w:val="24"/>
          <w:szCs w:val="24"/>
        </w:rPr>
        <w:t>it would later come to light</w:t>
      </w:r>
      <w:r w:rsidR="00350783" w:rsidRPr="00762CFC">
        <w:rPr>
          <w:rFonts w:ascii="Times New Roman" w:eastAsia="Times New Roman" w:hAnsi="Times New Roman" w:cs="Times New Roman"/>
          <w:sz w:val="24"/>
          <w:szCs w:val="24"/>
        </w:rPr>
        <w:t>, without dispute,</w:t>
      </w:r>
      <w:r w:rsidR="00756C49" w:rsidRPr="00762CFC">
        <w:rPr>
          <w:rFonts w:ascii="Times New Roman" w:eastAsia="Times New Roman" w:hAnsi="Times New Roman" w:cs="Times New Roman"/>
          <w:sz w:val="24"/>
          <w:szCs w:val="24"/>
        </w:rPr>
        <w:t xml:space="preserve"> that </w:t>
      </w:r>
      <w:r w:rsidR="00563FDF" w:rsidRPr="00762CFC">
        <w:rPr>
          <w:rFonts w:ascii="Times New Roman" w:eastAsia="Times New Roman" w:hAnsi="Times New Roman" w:cs="Times New Roman"/>
          <w:sz w:val="24"/>
          <w:szCs w:val="24"/>
        </w:rPr>
        <w:t xml:space="preserve">the legal description contained in the security deed </w:t>
      </w:r>
      <w:r w:rsidR="00756C49" w:rsidRPr="00762CFC">
        <w:rPr>
          <w:rFonts w:ascii="Times New Roman" w:eastAsia="Times New Roman" w:hAnsi="Times New Roman" w:cs="Times New Roman"/>
          <w:sz w:val="24"/>
          <w:szCs w:val="24"/>
        </w:rPr>
        <w:t xml:space="preserve">actually </w:t>
      </w:r>
      <w:r w:rsidR="00563FDF" w:rsidRPr="00762CFC">
        <w:rPr>
          <w:rFonts w:ascii="Times New Roman" w:eastAsia="Times New Roman" w:hAnsi="Times New Roman" w:cs="Times New Roman"/>
          <w:sz w:val="24"/>
          <w:szCs w:val="24"/>
        </w:rPr>
        <w:t>was for “2253 Dawnville Beaverdale Road.”</w:t>
      </w:r>
      <w:r w:rsidR="00117E89" w:rsidRPr="00762CFC">
        <w:rPr>
          <w:rStyle w:val="FootnoteReference"/>
          <w:rFonts w:ascii="Times New Roman" w:eastAsia="Times New Roman" w:hAnsi="Times New Roman" w:cs="Times New Roman"/>
          <w:sz w:val="24"/>
          <w:szCs w:val="24"/>
        </w:rPr>
        <w:footnoteReference w:id="27"/>
      </w:r>
    </w:p>
    <w:p w:rsidR="007A7E83" w:rsidRPr="00762CFC" w:rsidRDefault="00E6412A"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In September 2012, after mortgagee had defaulted on the loan, mortgagor foreclosed on the property.  The advertisement of the foreclosure identified the “</w:t>
      </w:r>
      <w:r w:rsidRPr="00762CFC">
        <w:rPr>
          <w:rFonts w:ascii="Times New Roman" w:eastAsia="Times New Roman" w:hAnsi="Times New Roman" w:cs="Times New Roman"/>
          <w:sz w:val="24"/>
          <w:szCs w:val="24"/>
          <w:u w:val="single"/>
        </w:rPr>
        <w:t>2253</w:t>
      </w:r>
      <w:r w:rsidRPr="00762CFC">
        <w:rPr>
          <w:rFonts w:ascii="Times New Roman" w:eastAsia="Times New Roman" w:hAnsi="Times New Roman" w:cs="Times New Roman"/>
          <w:sz w:val="24"/>
          <w:szCs w:val="24"/>
        </w:rPr>
        <w:t xml:space="preserve">” address as the property to be foreclosed upon.  After the Deed Under Power was recorded, mortgagee assigned its interest in the property to Fannie Mae, </w:t>
      </w:r>
      <w:r w:rsidR="00FF3F43" w:rsidRPr="00762CFC">
        <w:rPr>
          <w:rFonts w:ascii="Times New Roman" w:eastAsia="Times New Roman" w:hAnsi="Times New Roman" w:cs="Times New Roman"/>
          <w:sz w:val="24"/>
          <w:szCs w:val="24"/>
        </w:rPr>
        <w:t xml:space="preserve">but </w:t>
      </w:r>
      <w:r w:rsidRPr="00762CFC">
        <w:rPr>
          <w:rFonts w:ascii="Times New Roman" w:eastAsia="Times New Roman" w:hAnsi="Times New Roman" w:cs="Times New Roman"/>
          <w:sz w:val="24"/>
          <w:szCs w:val="24"/>
        </w:rPr>
        <w:t>Fannie Mae sought a writ of possession for the “</w:t>
      </w:r>
      <w:r w:rsidRPr="00762CFC">
        <w:rPr>
          <w:rFonts w:ascii="Times New Roman" w:eastAsia="Times New Roman" w:hAnsi="Times New Roman" w:cs="Times New Roman"/>
          <w:sz w:val="24"/>
          <w:szCs w:val="24"/>
          <w:u w:val="single"/>
        </w:rPr>
        <w:t>2215</w:t>
      </w:r>
      <w:r w:rsidRPr="00762CFC">
        <w:rPr>
          <w:rFonts w:ascii="Times New Roman" w:eastAsia="Times New Roman" w:hAnsi="Times New Roman" w:cs="Times New Roman"/>
          <w:sz w:val="24"/>
          <w:szCs w:val="24"/>
        </w:rPr>
        <w:t>” address.</w:t>
      </w:r>
      <w:r w:rsidR="00FF3F43" w:rsidRPr="00762CFC">
        <w:rPr>
          <w:rFonts w:ascii="Times New Roman" w:eastAsia="Times New Roman" w:hAnsi="Times New Roman" w:cs="Times New Roman"/>
          <w:sz w:val="24"/>
          <w:szCs w:val="24"/>
        </w:rPr>
        <w:t xml:space="preserve">  The Magistrate Court found that Fannie Mae </w:t>
      </w:r>
      <w:r w:rsidR="00FF3F43" w:rsidRPr="00762CFC">
        <w:rPr>
          <w:rFonts w:ascii="Times New Roman" w:eastAsia="Times New Roman" w:hAnsi="Times New Roman" w:cs="Times New Roman"/>
          <w:sz w:val="24"/>
          <w:szCs w:val="24"/>
          <w:u w:val="single"/>
        </w:rPr>
        <w:t>did</w:t>
      </w:r>
      <w:r w:rsidR="00FF3F43" w:rsidRPr="00762CFC">
        <w:rPr>
          <w:rFonts w:ascii="Times New Roman" w:eastAsia="Times New Roman" w:hAnsi="Times New Roman" w:cs="Times New Roman"/>
          <w:sz w:val="24"/>
          <w:szCs w:val="24"/>
        </w:rPr>
        <w:t xml:space="preserve"> have an ownership interest in the “2253” property but did </w:t>
      </w:r>
      <w:r w:rsidR="00FF3F43" w:rsidRPr="00762CFC">
        <w:rPr>
          <w:rFonts w:ascii="Times New Roman" w:eastAsia="Times New Roman" w:hAnsi="Times New Roman" w:cs="Times New Roman"/>
          <w:sz w:val="24"/>
          <w:szCs w:val="24"/>
          <w:u w:val="single"/>
        </w:rPr>
        <w:t>NOT</w:t>
      </w:r>
      <w:r w:rsidR="00FF3F43" w:rsidRPr="00762CFC">
        <w:rPr>
          <w:rFonts w:ascii="Times New Roman" w:eastAsia="Times New Roman" w:hAnsi="Times New Roman" w:cs="Times New Roman"/>
          <w:sz w:val="24"/>
          <w:szCs w:val="24"/>
        </w:rPr>
        <w:t xml:space="preserve"> have a lien or ownership interest in the “2215” property</w:t>
      </w:r>
      <w:r w:rsidR="007A7E83" w:rsidRPr="00762CFC">
        <w:rPr>
          <w:rFonts w:ascii="Times New Roman" w:eastAsia="Times New Roman" w:hAnsi="Times New Roman" w:cs="Times New Roman"/>
          <w:sz w:val="24"/>
          <w:szCs w:val="24"/>
        </w:rPr>
        <w:t xml:space="preserve"> and granted Fannie Mae a writ of possession only for the “2253” property.</w:t>
      </w:r>
      <w:r w:rsidR="00F51166" w:rsidRPr="00762CFC">
        <w:rPr>
          <w:rStyle w:val="FootnoteReference"/>
          <w:rFonts w:ascii="Times New Roman" w:eastAsia="Times New Roman" w:hAnsi="Times New Roman" w:cs="Times New Roman"/>
          <w:sz w:val="24"/>
          <w:szCs w:val="24"/>
        </w:rPr>
        <w:footnoteReference w:id="28"/>
      </w:r>
    </w:p>
    <w:p w:rsidR="00D528E4" w:rsidRPr="00762CFC" w:rsidRDefault="00D528E4"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In February of 2014, the mortgagee filed an Affidavit of Title asserting that it intended for the security deed to encumber the “2215” address</w:t>
      </w:r>
      <w:r w:rsidR="00890311" w:rsidRPr="00762CFC">
        <w:rPr>
          <w:rFonts w:ascii="Times New Roman" w:eastAsia="Times New Roman" w:hAnsi="Times New Roman" w:cs="Times New Roman"/>
          <w:sz w:val="24"/>
          <w:szCs w:val="24"/>
        </w:rPr>
        <w:t>, that mortgagor had defaulted on the loan, and that it had discovered the “error” in the security deed’s legal description.</w:t>
      </w:r>
      <w:r w:rsidR="00890311" w:rsidRPr="00762CFC">
        <w:rPr>
          <w:rStyle w:val="FootnoteReference"/>
          <w:rFonts w:ascii="Times New Roman" w:eastAsia="Times New Roman" w:hAnsi="Times New Roman" w:cs="Times New Roman"/>
          <w:sz w:val="24"/>
          <w:szCs w:val="24"/>
        </w:rPr>
        <w:footnoteReference w:id="29"/>
      </w:r>
      <w:r w:rsidR="00890311" w:rsidRPr="00762CFC">
        <w:rPr>
          <w:rFonts w:ascii="Times New Roman" w:eastAsia="Times New Roman" w:hAnsi="Times New Roman" w:cs="Times New Roman"/>
          <w:sz w:val="24"/>
          <w:szCs w:val="24"/>
        </w:rPr>
        <w:t xml:space="preserve">  Mortgagee then filed suit seeking equitable reformation of the deed, </w:t>
      </w:r>
      <w:r w:rsidR="00902945" w:rsidRPr="00762CFC">
        <w:rPr>
          <w:rFonts w:ascii="Times New Roman" w:eastAsia="Times New Roman" w:hAnsi="Times New Roman" w:cs="Times New Roman"/>
          <w:sz w:val="24"/>
          <w:szCs w:val="24"/>
        </w:rPr>
        <w:t xml:space="preserve">declaratory judgment, and other equitable relief to </w:t>
      </w:r>
      <w:r w:rsidR="00DD4EA4" w:rsidRPr="00762CFC">
        <w:rPr>
          <w:rFonts w:ascii="Times New Roman" w:eastAsia="Times New Roman" w:hAnsi="Times New Roman" w:cs="Times New Roman"/>
          <w:sz w:val="24"/>
          <w:szCs w:val="24"/>
        </w:rPr>
        <w:t xml:space="preserve">(i) </w:t>
      </w:r>
      <w:r w:rsidR="00902945" w:rsidRPr="00762CFC">
        <w:rPr>
          <w:rFonts w:ascii="Times New Roman" w:eastAsia="Times New Roman" w:hAnsi="Times New Roman" w:cs="Times New Roman"/>
          <w:sz w:val="24"/>
          <w:szCs w:val="24"/>
        </w:rPr>
        <w:t>correct the legal description in the deed to reflect the intended encumbrance on the “2215”</w:t>
      </w:r>
      <w:r w:rsidR="00DD4EA4" w:rsidRPr="00762CFC">
        <w:rPr>
          <w:rFonts w:ascii="Times New Roman" w:eastAsia="Times New Roman" w:hAnsi="Times New Roman" w:cs="Times New Roman"/>
          <w:sz w:val="24"/>
          <w:szCs w:val="24"/>
        </w:rPr>
        <w:t xml:space="preserve"> address; (ii)</w:t>
      </w:r>
      <w:r w:rsidR="00902945" w:rsidRPr="00762CFC">
        <w:rPr>
          <w:rFonts w:ascii="Times New Roman" w:eastAsia="Times New Roman" w:hAnsi="Times New Roman" w:cs="Times New Roman"/>
          <w:sz w:val="24"/>
          <w:szCs w:val="24"/>
        </w:rPr>
        <w:t xml:space="preserve"> void the foreclosure sale; </w:t>
      </w:r>
      <w:r w:rsidR="00DD4EA4" w:rsidRPr="00762CFC">
        <w:rPr>
          <w:rFonts w:ascii="Times New Roman" w:eastAsia="Times New Roman" w:hAnsi="Times New Roman" w:cs="Times New Roman"/>
          <w:sz w:val="24"/>
          <w:szCs w:val="24"/>
        </w:rPr>
        <w:t xml:space="preserve">(iii) </w:t>
      </w:r>
      <w:r w:rsidR="00902945" w:rsidRPr="00762CFC">
        <w:rPr>
          <w:rFonts w:ascii="Times New Roman" w:eastAsia="Times New Roman" w:hAnsi="Times New Roman" w:cs="Times New Roman"/>
          <w:sz w:val="24"/>
          <w:szCs w:val="24"/>
        </w:rPr>
        <w:t xml:space="preserve">reinstate the security deed; and </w:t>
      </w:r>
      <w:r w:rsidR="00DD4EA4" w:rsidRPr="00762CFC">
        <w:rPr>
          <w:rFonts w:ascii="Times New Roman" w:eastAsia="Times New Roman" w:hAnsi="Times New Roman" w:cs="Times New Roman"/>
          <w:sz w:val="24"/>
          <w:szCs w:val="24"/>
        </w:rPr>
        <w:t xml:space="preserve">(iv) return the </w:t>
      </w:r>
      <w:r w:rsidR="00DD4EA4" w:rsidRPr="00762CFC">
        <w:rPr>
          <w:rFonts w:ascii="Times New Roman" w:eastAsia="Times New Roman" w:hAnsi="Times New Roman" w:cs="Times New Roman"/>
          <w:sz w:val="24"/>
          <w:szCs w:val="24"/>
        </w:rPr>
        <w:lastRenderedPageBreak/>
        <w:t>parties to their respective positions prior to the foreclosure.</w:t>
      </w:r>
      <w:r w:rsidR="00DD4EA4" w:rsidRPr="00762CFC">
        <w:rPr>
          <w:rStyle w:val="FootnoteReference"/>
          <w:rFonts w:ascii="Times New Roman" w:eastAsia="Times New Roman" w:hAnsi="Times New Roman" w:cs="Times New Roman"/>
          <w:sz w:val="24"/>
          <w:szCs w:val="24"/>
        </w:rPr>
        <w:footnoteReference w:id="30"/>
      </w:r>
      <w:r w:rsidR="00312D3A" w:rsidRPr="00762CFC">
        <w:rPr>
          <w:rFonts w:ascii="Times New Roman" w:eastAsia="Times New Roman" w:hAnsi="Times New Roman" w:cs="Times New Roman"/>
          <w:sz w:val="24"/>
          <w:szCs w:val="24"/>
        </w:rPr>
        <w:t xml:space="preserve"> Mortgag</w:t>
      </w:r>
      <w:r w:rsidR="007369FC" w:rsidRPr="00762CFC">
        <w:rPr>
          <w:rFonts w:ascii="Times New Roman" w:eastAsia="Times New Roman" w:hAnsi="Times New Roman" w:cs="Times New Roman"/>
          <w:sz w:val="24"/>
          <w:szCs w:val="24"/>
        </w:rPr>
        <w:t>or</w:t>
      </w:r>
      <w:r w:rsidR="00312D3A" w:rsidRPr="00762CFC">
        <w:rPr>
          <w:rFonts w:ascii="Times New Roman" w:eastAsia="Times New Roman" w:hAnsi="Times New Roman" w:cs="Times New Roman"/>
          <w:sz w:val="24"/>
          <w:szCs w:val="24"/>
        </w:rPr>
        <w:t xml:space="preserve"> answered and counterclaimed </w:t>
      </w:r>
      <w:r w:rsidR="007369FC" w:rsidRPr="00762CFC">
        <w:rPr>
          <w:rFonts w:ascii="Times New Roman" w:eastAsia="Times New Roman" w:hAnsi="Times New Roman" w:cs="Times New Roman"/>
          <w:sz w:val="24"/>
          <w:szCs w:val="24"/>
        </w:rPr>
        <w:t>for libel and abusive collection.  Mortgagee eventually filed a second Affidavit of Title and dismissed its lawsuit.</w:t>
      </w:r>
      <w:r w:rsidR="007369FC" w:rsidRPr="00762CFC">
        <w:rPr>
          <w:rStyle w:val="FootnoteReference"/>
          <w:rFonts w:ascii="Times New Roman" w:eastAsia="Times New Roman" w:hAnsi="Times New Roman" w:cs="Times New Roman"/>
          <w:sz w:val="24"/>
          <w:szCs w:val="24"/>
        </w:rPr>
        <w:footnoteReference w:id="31"/>
      </w:r>
      <w:r w:rsidR="007369FC" w:rsidRPr="00762CFC">
        <w:rPr>
          <w:rFonts w:ascii="Times New Roman" w:eastAsia="Times New Roman" w:hAnsi="Times New Roman" w:cs="Times New Roman"/>
          <w:sz w:val="24"/>
          <w:szCs w:val="24"/>
        </w:rPr>
        <w:t xml:space="preserve"> </w:t>
      </w:r>
    </w:p>
    <w:p w:rsidR="001307F6" w:rsidRPr="00762CFC" w:rsidRDefault="007369FC"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Eventually, mortgag</w:t>
      </w:r>
      <w:r w:rsidR="007D5A7D" w:rsidRPr="00762CFC">
        <w:rPr>
          <w:rFonts w:ascii="Times New Roman" w:eastAsia="Times New Roman" w:hAnsi="Times New Roman" w:cs="Times New Roman"/>
          <w:sz w:val="24"/>
          <w:szCs w:val="24"/>
        </w:rPr>
        <w:t>or</w:t>
      </w:r>
      <w:r w:rsidRPr="00762CFC">
        <w:rPr>
          <w:rFonts w:ascii="Times New Roman" w:eastAsia="Times New Roman" w:hAnsi="Times New Roman" w:cs="Times New Roman"/>
          <w:sz w:val="24"/>
          <w:szCs w:val="24"/>
        </w:rPr>
        <w:t xml:space="preserve"> amended its counterclaim</w:t>
      </w:r>
      <w:r w:rsidR="00867EF4" w:rsidRPr="00762CFC">
        <w:rPr>
          <w:rFonts w:ascii="Times New Roman" w:eastAsia="Times New Roman" w:hAnsi="Times New Roman" w:cs="Times New Roman"/>
          <w:sz w:val="24"/>
          <w:szCs w:val="24"/>
        </w:rPr>
        <w:t xml:space="preserve"> to bring a Quiet Title action, asserting that the first and second affidavits and the reporting to credit agencies of the foreclosure of the “2215” property cast a cloud on the title of the property.</w:t>
      </w:r>
      <w:r w:rsidR="001343D0" w:rsidRPr="00762CFC">
        <w:rPr>
          <w:rStyle w:val="FootnoteReference"/>
          <w:rFonts w:ascii="Times New Roman" w:eastAsia="Times New Roman" w:hAnsi="Times New Roman" w:cs="Times New Roman"/>
          <w:sz w:val="24"/>
          <w:szCs w:val="24"/>
        </w:rPr>
        <w:footnoteReference w:id="32"/>
      </w:r>
      <w:r w:rsidR="00867EF4" w:rsidRPr="00762CFC">
        <w:rPr>
          <w:rFonts w:ascii="Times New Roman" w:eastAsia="Times New Roman" w:hAnsi="Times New Roman" w:cs="Times New Roman"/>
          <w:sz w:val="24"/>
          <w:szCs w:val="24"/>
        </w:rPr>
        <w:t xml:space="preserve">  </w:t>
      </w:r>
      <w:r w:rsidR="00124846" w:rsidRPr="00762CFC">
        <w:rPr>
          <w:rFonts w:ascii="Times New Roman" w:eastAsia="Times New Roman" w:hAnsi="Times New Roman" w:cs="Times New Roman"/>
          <w:sz w:val="24"/>
          <w:szCs w:val="24"/>
        </w:rPr>
        <w:t>Mortgag</w:t>
      </w:r>
      <w:r w:rsidR="00A936D9" w:rsidRPr="00762CFC">
        <w:rPr>
          <w:rFonts w:ascii="Times New Roman" w:eastAsia="Times New Roman" w:hAnsi="Times New Roman" w:cs="Times New Roman"/>
          <w:sz w:val="24"/>
          <w:szCs w:val="24"/>
        </w:rPr>
        <w:t>or</w:t>
      </w:r>
      <w:r w:rsidR="00124846" w:rsidRPr="00762CFC">
        <w:rPr>
          <w:rFonts w:ascii="Times New Roman" w:eastAsia="Times New Roman" w:hAnsi="Times New Roman" w:cs="Times New Roman"/>
          <w:sz w:val="24"/>
          <w:szCs w:val="24"/>
        </w:rPr>
        <w:t xml:space="preserve"> asserted that only the “2253” property was intended to be encumbered and that the “2215” property was just a mailing address.  </w:t>
      </w:r>
      <w:r w:rsidR="00A936D9" w:rsidRPr="00762CFC">
        <w:rPr>
          <w:rFonts w:ascii="Times New Roman" w:eastAsia="Times New Roman" w:hAnsi="Times New Roman" w:cs="Times New Roman"/>
          <w:sz w:val="24"/>
          <w:szCs w:val="24"/>
        </w:rPr>
        <w:t>Mortgagee, of course, argued that the parties intended to encumber “2215” and moved to dismiss for failure to state a claim.</w:t>
      </w:r>
      <w:r w:rsidR="001343D0" w:rsidRPr="00762CFC">
        <w:rPr>
          <w:rStyle w:val="FootnoteReference"/>
          <w:rFonts w:ascii="Times New Roman" w:eastAsia="Times New Roman" w:hAnsi="Times New Roman" w:cs="Times New Roman"/>
          <w:sz w:val="24"/>
          <w:szCs w:val="24"/>
        </w:rPr>
        <w:footnoteReference w:id="33"/>
      </w:r>
      <w:r w:rsidR="00A936D9" w:rsidRPr="00762CFC">
        <w:rPr>
          <w:rFonts w:ascii="Times New Roman" w:eastAsia="Times New Roman" w:hAnsi="Times New Roman" w:cs="Times New Roman"/>
          <w:sz w:val="24"/>
          <w:szCs w:val="24"/>
        </w:rPr>
        <w:t xml:space="preserve">  T</w:t>
      </w:r>
      <w:r w:rsidR="001307F6" w:rsidRPr="00762CFC">
        <w:rPr>
          <w:rFonts w:ascii="Times New Roman" w:eastAsia="Times New Roman" w:hAnsi="Times New Roman" w:cs="Times New Roman"/>
          <w:sz w:val="24"/>
          <w:szCs w:val="24"/>
        </w:rPr>
        <w:t>he trial court</w:t>
      </w:r>
      <w:r w:rsidR="00A936D9" w:rsidRPr="00762CFC">
        <w:rPr>
          <w:rFonts w:ascii="Times New Roman" w:eastAsia="Times New Roman" w:hAnsi="Times New Roman" w:cs="Times New Roman"/>
          <w:sz w:val="24"/>
          <w:szCs w:val="24"/>
        </w:rPr>
        <w:t xml:space="preserve">, in fact, did </w:t>
      </w:r>
      <w:r w:rsidR="001307F6" w:rsidRPr="00762CFC">
        <w:rPr>
          <w:rFonts w:ascii="Times New Roman" w:eastAsia="Times New Roman" w:hAnsi="Times New Roman" w:cs="Times New Roman"/>
          <w:sz w:val="24"/>
          <w:szCs w:val="24"/>
        </w:rPr>
        <w:t>dismiss</w:t>
      </w:r>
      <w:r w:rsidR="00A936D9" w:rsidRPr="00762CFC">
        <w:rPr>
          <w:rFonts w:ascii="Times New Roman" w:eastAsia="Times New Roman" w:hAnsi="Times New Roman" w:cs="Times New Roman"/>
          <w:sz w:val="24"/>
          <w:szCs w:val="24"/>
        </w:rPr>
        <w:t xml:space="preserve"> </w:t>
      </w:r>
      <w:r w:rsidR="001307F6" w:rsidRPr="00762CFC">
        <w:rPr>
          <w:rFonts w:ascii="Times New Roman" w:eastAsia="Times New Roman" w:hAnsi="Times New Roman" w:cs="Times New Roman"/>
          <w:sz w:val="24"/>
          <w:szCs w:val="24"/>
        </w:rPr>
        <w:t>the counterclaim.  The Court of Appeals reversed and held that the property owner would be entitled to relief if he could prove the allegations contained in the counterclaim</w:t>
      </w:r>
      <w:r w:rsidR="008A78BB" w:rsidRPr="00762CFC">
        <w:rPr>
          <w:rFonts w:ascii="Times New Roman" w:eastAsia="Times New Roman" w:hAnsi="Times New Roman" w:cs="Times New Roman"/>
          <w:sz w:val="24"/>
          <w:szCs w:val="24"/>
        </w:rPr>
        <w:t xml:space="preserve"> – namely that (i) </w:t>
      </w:r>
      <w:r w:rsidR="001343D0" w:rsidRPr="00762CFC">
        <w:rPr>
          <w:rFonts w:ascii="Times New Roman" w:eastAsia="Times New Roman" w:hAnsi="Times New Roman" w:cs="Times New Roman"/>
          <w:sz w:val="24"/>
          <w:szCs w:val="24"/>
        </w:rPr>
        <w:t>M</w:t>
      </w:r>
      <w:r w:rsidR="008A78BB" w:rsidRPr="00762CFC">
        <w:rPr>
          <w:rFonts w:ascii="Times New Roman" w:eastAsia="Times New Roman" w:hAnsi="Times New Roman" w:cs="Times New Roman"/>
          <w:sz w:val="24"/>
          <w:szCs w:val="24"/>
        </w:rPr>
        <w:t xml:space="preserve">ortgagor held unencumbered legal title to the “2215” property; </w:t>
      </w:r>
      <w:r w:rsidR="000C6D67" w:rsidRPr="00762CFC">
        <w:rPr>
          <w:rFonts w:ascii="Times New Roman" w:eastAsia="Times New Roman" w:hAnsi="Times New Roman" w:cs="Times New Roman"/>
          <w:sz w:val="24"/>
          <w:szCs w:val="24"/>
        </w:rPr>
        <w:t xml:space="preserve">and </w:t>
      </w:r>
      <w:r w:rsidR="008A78BB" w:rsidRPr="00762CFC">
        <w:rPr>
          <w:rFonts w:ascii="Times New Roman" w:eastAsia="Times New Roman" w:hAnsi="Times New Roman" w:cs="Times New Roman"/>
          <w:sz w:val="24"/>
          <w:szCs w:val="24"/>
        </w:rPr>
        <w:t xml:space="preserve">(ii) </w:t>
      </w:r>
      <w:r w:rsidR="000C6D67" w:rsidRPr="00762CFC">
        <w:rPr>
          <w:rFonts w:ascii="Times New Roman" w:eastAsia="Times New Roman" w:hAnsi="Times New Roman" w:cs="Times New Roman"/>
          <w:sz w:val="24"/>
          <w:szCs w:val="24"/>
        </w:rPr>
        <w:t>Mortgagee, through the filing of Affidavits of Title and the foreclosure and resulting Deed Under Power cast a cloud on that title.</w:t>
      </w:r>
      <w:r w:rsidR="001343D0" w:rsidRPr="00762CFC">
        <w:rPr>
          <w:rStyle w:val="FootnoteReference"/>
          <w:rFonts w:ascii="Times New Roman" w:eastAsia="Times New Roman" w:hAnsi="Times New Roman" w:cs="Times New Roman"/>
          <w:sz w:val="24"/>
          <w:szCs w:val="24"/>
        </w:rPr>
        <w:footnoteReference w:id="34"/>
      </w:r>
    </w:p>
    <w:p w:rsidR="00270D6C" w:rsidRDefault="00283378" w:rsidP="002B3299">
      <w:pPr>
        <w:pStyle w:val="ListParagraph"/>
        <w:numPr>
          <w:ilvl w:val="0"/>
          <w:numId w:val="3"/>
        </w:numPr>
        <w:spacing w:after="0" w:line="360" w:lineRule="auto"/>
        <w:ind w:left="144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Timing </w:t>
      </w:r>
      <w:r w:rsidR="00C64E01">
        <w:rPr>
          <w:rFonts w:ascii="Times New Roman" w:eastAsia="Times New Roman" w:hAnsi="Times New Roman" w:cs="Times New Roman"/>
          <w:b/>
          <w:sz w:val="24"/>
          <w:szCs w:val="24"/>
        </w:rPr>
        <w:t xml:space="preserve">Is Everything </w:t>
      </w:r>
      <w:r w:rsidR="005A37E2">
        <w:rPr>
          <w:rFonts w:ascii="Times New Roman" w:eastAsia="Times New Roman" w:hAnsi="Times New Roman" w:cs="Times New Roman"/>
          <w:b/>
          <w:sz w:val="24"/>
          <w:szCs w:val="24"/>
        </w:rPr>
        <w:t xml:space="preserve">When </w:t>
      </w:r>
      <w:r>
        <w:rPr>
          <w:rFonts w:ascii="Times New Roman" w:eastAsia="Times New Roman" w:hAnsi="Times New Roman" w:cs="Times New Roman"/>
          <w:b/>
          <w:sz w:val="24"/>
          <w:szCs w:val="24"/>
        </w:rPr>
        <w:t>Request</w:t>
      </w:r>
      <w:r w:rsidR="005A37E2">
        <w:rPr>
          <w:rFonts w:ascii="Times New Roman" w:eastAsia="Times New Roman" w:hAnsi="Times New Roman" w:cs="Times New Roman"/>
          <w:b/>
          <w:sz w:val="24"/>
          <w:szCs w:val="24"/>
        </w:rPr>
        <w:t>ing a</w:t>
      </w:r>
      <w:r>
        <w:rPr>
          <w:rFonts w:ascii="Times New Roman" w:eastAsia="Times New Roman" w:hAnsi="Times New Roman" w:cs="Times New Roman"/>
          <w:b/>
          <w:sz w:val="24"/>
          <w:szCs w:val="24"/>
        </w:rPr>
        <w:t xml:space="preserve"> Jury</w:t>
      </w:r>
    </w:p>
    <w:p w:rsidR="00283378" w:rsidRDefault="00283378" w:rsidP="00283378">
      <w:pPr>
        <w:spacing w:after="0" w:line="360" w:lineRule="auto"/>
        <w:rPr>
          <w:rFonts w:ascii="Times New Roman" w:eastAsia="Times New Roman" w:hAnsi="Times New Roman" w:cs="Times New Roman"/>
          <w:b/>
          <w:sz w:val="24"/>
          <w:szCs w:val="24"/>
        </w:rPr>
      </w:pPr>
      <w:r w:rsidRPr="00541999">
        <w:rPr>
          <w:rFonts w:ascii="Times New Roman" w:eastAsia="Times New Roman" w:hAnsi="Times New Roman" w:cs="Times New Roman"/>
          <w:b/>
          <w:sz w:val="24"/>
          <w:szCs w:val="24"/>
          <w:u w:val="single"/>
        </w:rPr>
        <w:t>Wyatt v. Hizer</w:t>
      </w:r>
      <w:r w:rsidR="00B7079A">
        <w:rPr>
          <w:rFonts w:ascii="Times New Roman" w:eastAsia="Times New Roman" w:hAnsi="Times New Roman" w:cs="Times New Roman"/>
          <w:b/>
          <w:sz w:val="24"/>
          <w:szCs w:val="24"/>
        </w:rPr>
        <w:t xml:space="preserve">, 337 Ga. </w:t>
      </w:r>
      <w:r>
        <w:rPr>
          <w:rFonts w:ascii="Times New Roman" w:eastAsia="Times New Roman" w:hAnsi="Times New Roman" w:cs="Times New Roman"/>
          <w:b/>
          <w:sz w:val="24"/>
          <w:szCs w:val="24"/>
        </w:rPr>
        <w:t>App. 767, 788 S.E.2d 866 (2016)</w:t>
      </w:r>
    </w:p>
    <w:p w:rsidR="00283378" w:rsidRDefault="00283378" w:rsidP="007C723C">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w:t>
      </w:r>
      <w:r>
        <w:rPr>
          <w:rFonts w:ascii="Times New Roman" w:eastAsia="Times New Roman" w:hAnsi="Times New Roman" w:cs="Times New Roman"/>
          <w:b/>
          <w:sz w:val="24"/>
          <w:szCs w:val="24"/>
        </w:rPr>
        <w:tab/>
      </w:r>
      <w:r w:rsidR="0089298B">
        <w:rPr>
          <w:rFonts w:ascii="Times New Roman" w:eastAsia="Times New Roman" w:hAnsi="Times New Roman" w:cs="Times New Roman"/>
          <w:b/>
          <w:sz w:val="24"/>
          <w:szCs w:val="24"/>
        </w:rPr>
        <w:t xml:space="preserve">Demand for jury trial on factual issues so triable must be </w:t>
      </w:r>
      <w:r w:rsidR="0089298B" w:rsidRPr="00BE538A">
        <w:rPr>
          <w:rFonts w:ascii="Times New Roman" w:eastAsia="Times New Roman" w:hAnsi="Times New Roman" w:cs="Times New Roman"/>
          <w:b/>
          <w:sz w:val="24"/>
          <w:szCs w:val="24"/>
          <w:u w:val="single"/>
        </w:rPr>
        <w:t>filed</w:t>
      </w:r>
      <w:r w:rsidR="0089298B">
        <w:rPr>
          <w:rFonts w:ascii="Times New Roman" w:eastAsia="Times New Roman" w:hAnsi="Times New Roman" w:cs="Times New Roman"/>
          <w:b/>
          <w:sz w:val="24"/>
          <w:szCs w:val="24"/>
        </w:rPr>
        <w:t xml:space="preserve"> before the commencement of Special Master’s hearing.</w:t>
      </w:r>
    </w:p>
    <w:p w:rsidR="00432109" w:rsidRDefault="00541999" w:rsidP="0052469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brought an action in quiet title </w:t>
      </w:r>
      <w:r w:rsidR="00976DB7">
        <w:rPr>
          <w:rFonts w:ascii="Times New Roman" w:eastAsia="Times New Roman" w:hAnsi="Times New Roman" w:cs="Times New Roman"/>
          <w:sz w:val="24"/>
          <w:szCs w:val="24"/>
        </w:rPr>
        <w:t xml:space="preserve">alleging that she was the owner of </w:t>
      </w:r>
      <w:r w:rsidR="00E87B71">
        <w:rPr>
          <w:rFonts w:ascii="Times New Roman" w:eastAsia="Times New Roman" w:hAnsi="Times New Roman" w:cs="Times New Roman"/>
          <w:sz w:val="24"/>
          <w:szCs w:val="24"/>
        </w:rPr>
        <w:t>“</w:t>
      </w:r>
      <w:r w:rsidR="00976DB7">
        <w:rPr>
          <w:rFonts w:ascii="Times New Roman" w:eastAsia="Times New Roman" w:hAnsi="Times New Roman" w:cs="Times New Roman"/>
          <w:sz w:val="24"/>
          <w:szCs w:val="24"/>
        </w:rPr>
        <w:t>Lot 2</w:t>
      </w:r>
      <w:r w:rsidR="00E87B71">
        <w:rPr>
          <w:rFonts w:ascii="Times New Roman" w:eastAsia="Times New Roman" w:hAnsi="Times New Roman" w:cs="Times New Roman"/>
          <w:sz w:val="24"/>
          <w:szCs w:val="24"/>
        </w:rPr>
        <w:t>”</w:t>
      </w:r>
      <w:r w:rsidR="00976DB7">
        <w:rPr>
          <w:rFonts w:ascii="Times New Roman" w:eastAsia="Times New Roman" w:hAnsi="Times New Roman" w:cs="Times New Roman"/>
          <w:sz w:val="24"/>
          <w:szCs w:val="24"/>
        </w:rPr>
        <w:t xml:space="preserve"> of Buena Vista subdivision</w:t>
      </w:r>
      <w:r w:rsidR="00BD6258">
        <w:rPr>
          <w:rFonts w:ascii="Times New Roman" w:eastAsia="Times New Roman" w:hAnsi="Times New Roman" w:cs="Times New Roman"/>
          <w:sz w:val="24"/>
          <w:szCs w:val="24"/>
        </w:rPr>
        <w:t>, as shown on the “Campbell Plat,”</w:t>
      </w:r>
      <w:r w:rsidR="00976DB7">
        <w:rPr>
          <w:rFonts w:ascii="Times New Roman" w:eastAsia="Times New Roman" w:hAnsi="Times New Roman" w:cs="Times New Roman"/>
          <w:sz w:val="24"/>
          <w:szCs w:val="24"/>
        </w:rPr>
        <w:t xml:space="preserve"> and that Defendants had claimed an interest in the subject property and had entered onto the subject property without authorization.</w:t>
      </w:r>
      <w:r w:rsidR="00F27C0F">
        <w:rPr>
          <w:rStyle w:val="FootnoteReference"/>
          <w:rFonts w:ascii="Times New Roman" w:eastAsia="Times New Roman" w:hAnsi="Times New Roman" w:cs="Times New Roman"/>
          <w:sz w:val="24"/>
          <w:szCs w:val="24"/>
        </w:rPr>
        <w:footnoteReference w:id="35"/>
      </w:r>
      <w:r w:rsidR="00976DB7">
        <w:rPr>
          <w:rFonts w:ascii="Times New Roman" w:eastAsia="Times New Roman" w:hAnsi="Times New Roman" w:cs="Times New Roman"/>
          <w:sz w:val="24"/>
          <w:szCs w:val="24"/>
        </w:rPr>
        <w:t xml:space="preserve">  </w:t>
      </w:r>
      <w:r w:rsidR="00BD6258">
        <w:rPr>
          <w:rFonts w:ascii="Times New Roman" w:eastAsia="Times New Roman" w:hAnsi="Times New Roman" w:cs="Times New Roman"/>
          <w:sz w:val="24"/>
          <w:szCs w:val="24"/>
        </w:rPr>
        <w:t xml:space="preserve">Defendants answered and counterclaimed in quiet title </w:t>
      </w:r>
      <w:r w:rsidR="00E87B71">
        <w:rPr>
          <w:rFonts w:ascii="Times New Roman" w:eastAsia="Times New Roman" w:hAnsi="Times New Roman" w:cs="Times New Roman"/>
          <w:sz w:val="24"/>
          <w:szCs w:val="24"/>
        </w:rPr>
        <w:t>asserting that they were the owners of the subject property, identified as “Lot 1” on the “Morrison Plat,” by virtue of a quit claim deed to them.</w:t>
      </w:r>
      <w:r w:rsidR="00F27C0F">
        <w:rPr>
          <w:rStyle w:val="FootnoteReference"/>
          <w:rFonts w:ascii="Times New Roman" w:eastAsia="Times New Roman" w:hAnsi="Times New Roman" w:cs="Times New Roman"/>
          <w:sz w:val="24"/>
          <w:szCs w:val="24"/>
        </w:rPr>
        <w:footnoteReference w:id="36"/>
      </w:r>
      <w:r w:rsidR="00C64E01">
        <w:rPr>
          <w:rFonts w:ascii="Times New Roman" w:eastAsia="Times New Roman" w:hAnsi="Times New Roman" w:cs="Times New Roman"/>
          <w:sz w:val="24"/>
          <w:szCs w:val="24"/>
        </w:rPr>
        <w:t xml:space="preserve">  </w:t>
      </w:r>
      <w:r w:rsidR="00DA192C" w:rsidRPr="00DA192C">
        <w:rPr>
          <w:rFonts w:ascii="Times New Roman" w:eastAsia="Times New Roman" w:hAnsi="Times New Roman" w:cs="Times New Roman"/>
          <w:sz w:val="24"/>
          <w:szCs w:val="24"/>
          <w:u w:val="single"/>
        </w:rPr>
        <w:t>Both</w:t>
      </w:r>
      <w:r w:rsidR="00DA192C">
        <w:rPr>
          <w:rFonts w:ascii="Times New Roman" w:eastAsia="Times New Roman" w:hAnsi="Times New Roman" w:cs="Times New Roman"/>
          <w:sz w:val="24"/>
          <w:szCs w:val="24"/>
        </w:rPr>
        <w:t xml:space="preserve"> parties asked for a special master under O.C.G.A. § 23-3-63.</w:t>
      </w:r>
      <w:r w:rsidR="00F27C0F">
        <w:rPr>
          <w:rStyle w:val="FootnoteReference"/>
          <w:rFonts w:ascii="Times New Roman" w:eastAsia="Times New Roman" w:hAnsi="Times New Roman" w:cs="Times New Roman"/>
          <w:sz w:val="24"/>
          <w:szCs w:val="24"/>
        </w:rPr>
        <w:footnoteReference w:id="37"/>
      </w:r>
    </w:p>
    <w:p w:rsidR="00C64E01" w:rsidRPr="00047063" w:rsidRDefault="00C64E01" w:rsidP="00524697">
      <w:pPr>
        <w:spacing w:after="0" w:line="360" w:lineRule="auto"/>
        <w:ind w:firstLine="720"/>
        <w:jc w:val="both"/>
      </w:pPr>
      <w:r>
        <w:rPr>
          <w:rFonts w:ascii="Times New Roman" w:eastAsia="Times New Roman" w:hAnsi="Times New Roman" w:cs="Times New Roman"/>
          <w:sz w:val="24"/>
          <w:szCs w:val="24"/>
        </w:rPr>
        <w:lastRenderedPageBreak/>
        <w:t>The Court appointed a special master, and a hearing was set for June 13, 2013 at 9:30 a.m.</w:t>
      </w:r>
      <w:r w:rsidR="00BD32A2">
        <w:rPr>
          <w:rStyle w:val="FootnoteReference"/>
          <w:rFonts w:ascii="Times New Roman" w:eastAsia="Times New Roman" w:hAnsi="Times New Roman" w:cs="Times New Roman"/>
          <w:sz w:val="24"/>
          <w:szCs w:val="24"/>
        </w:rPr>
        <w:footnoteReference w:id="38"/>
      </w:r>
      <w:r w:rsidR="005A37E2">
        <w:rPr>
          <w:rFonts w:ascii="Times New Roman" w:eastAsia="Times New Roman" w:hAnsi="Times New Roman" w:cs="Times New Roman"/>
          <w:sz w:val="24"/>
          <w:szCs w:val="24"/>
        </w:rPr>
        <w:t xml:space="preserve">  </w:t>
      </w:r>
      <w:r w:rsidR="00BD32A2">
        <w:rPr>
          <w:rFonts w:ascii="Times New Roman" w:eastAsia="Times New Roman" w:hAnsi="Times New Roman" w:cs="Times New Roman"/>
          <w:sz w:val="24"/>
          <w:szCs w:val="24"/>
        </w:rPr>
        <w:t>Neither party requested that the special master hearing be recorded, nor</w:t>
      </w:r>
      <w:r w:rsidR="005A37E2">
        <w:rPr>
          <w:rFonts w:ascii="Times New Roman" w:eastAsia="Times New Roman" w:hAnsi="Times New Roman" w:cs="Times New Roman"/>
          <w:sz w:val="24"/>
          <w:szCs w:val="24"/>
        </w:rPr>
        <w:t xml:space="preserve"> </w:t>
      </w:r>
      <w:r w:rsidR="00BD32A2">
        <w:rPr>
          <w:rFonts w:ascii="Times New Roman" w:eastAsia="Times New Roman" w:hAnsi="Times New Roman" w:cs="Times New Roman"/>
          <w:sz w:val="24"/>
          <w:szCs w:val="24"/>
        </w:rPr>
        <w:t xml:space="preserve">did they provide a </w:t>
      </w:r>
      <w:r w:rsidR="00420075">
        <w:rPr>
          <w:rFonts w:ascii="Times New Roman" w:eastAsia="Times New Roman" w:hAnsi="Times New Roman" w:cs="Times New Roman"/>
          <w:sz w:val="24"/>
          <w:szCs w:val="24"/>
        </w:rPr>
        <w:t>transcript or re</w:t>
      </w:r>
      <w:r w:rsidR="00BD32A2">
        <w:rPr>
          <w:rFonts w:ascii="Times New Roman" w:eastAsia="Times New Roman" w:hAnsi="Times New Roman" w:cs="Times New Roman"/>
          <w:sz w:val="24"/>
          <w:szCs w:val="24"/>
        </w:rPr>
        <w:t>-</w:t>
      </w:r>
      <w:r w:rsidR="00420075">
        <w:rPr>
          <w:rFonts w:ascii="Times New Roman" w:eastAsia="Times New Roman" w:hAnsi="Times New Roman" w:cs="Times New Roman"/>
          <w:sz w:val="24"/>
          <w:szCs w:val="24"/>
        </w:rPr>
        <w:t xml:space="preserve">creation of the events of the special master hearing on appeal.  Defendants filed a “Demand for Jury Trial” at some point on June 13, 2013; however, the clerk’s office </w:t>
      </w:r>
      <w:r w:rsidR="00263602">
        <w:rPr>
          <w:rFonts w:ascii="Times New Roman" w:eastAsia="Times New Roman" w:hAnsi="Times New Roman" w:cs="Times New Roman"/>
          <w:sz w:val="24"/>
          <w:szCs w:val="24"/>
        </w:rPr>
        <w:t xml:space="preserve">only file stamped the pleading and </w:t>
      </w:r>
      <w:r w:rsidR="00420075">
        <w:rPr>
          <w:rFonts w:ascii="Times New Roman" w:eastAsia="Times New Roman" w:hAnsi="Times New Roman" w:cs="Times New Roman"/>
          <w:sz w:val="24"/>
          <w:szCs w:val="24"/>
        </w:rPr>
        <w:t>did not time-stamp</w:t>
      </w:r>
      <w:r w:rsidR="00263602">
        <w:rPr>
          <w:rFonts w:ascii="Times New Roman" w:eastAsia="Times New Roman" w:hAnsi="Times New Roman" w:cs="Times New Roman"/>
          <w:sz w:val="24"/>
          <w:szCs w:val="24"/>
        </w:rPr>
        <w:t xml:space="preserve"> it</w:t>
      </w:r>
      <w:r w:rsidR="00420075">
        <w:rPr>
          <w:rFonts w:ascii="Times New Roman" w:eastAsia="Times New Roman" w:hAnsi="Times New Roman" w:cs="Times New Roman"/>
          <w:sz w:val="24"/>
          <w:szCs w:val="24"/>
        </w:rPr>
        <w:t>.</w:t>
      </w:r>
      <w:r w:rsidR="00427B5F">
        <w:rPr>
          <w:rStyle w:val="FootnoteReference"/>
          <w:rFonts w:ascii="Times New Roman" w:eastAsia="Times New Roman" w:hAnsi="Times New Roman" w:cs="Times New Roman"/>
          <w:sz w:val="24"/>
          <w:szCs w:val="24"/>
        </w:rPr>
        <w:footnoteReference w:id="39"/>
      </w:r>
      <w:r w:rsidR="00420075">
        <w:rPr>
          <w:rFonts w:ascii="Times New Roman" w:eastAsia="Times New Roman" w:hAnsi="Times New Roman" w:cs="Times New Roman"/>
          <w:sz w:val="24"/>
          <w:szCs w:val="24"/>
        </w:rPr>
        <w:t xml:space="preserve">  </w:t>
      </w:r>
      <w:r w:rsidR="00EA7F03">
        <w:rPr>
          <w:rFonts w:ascii="Times New Roman" w:eastAsia="Times New Roman" w:hAnsi="Times New Roman" w:cs="Times New Roman"/>
          <w:sz w:val="24"/>
          <w:szCs w:val="24"/>
        </w:rPr>
        <w:t xml:space="preserve">The face of the Demand </w:t>
      </w:r>
      <w:r w:rsidR="00D47F9E">
        <w:rPr>
          <w:rFonts w:ascii="Times New Roman" w:eastAsia="Times New Roman" w:hAnsi="Times New Roman" w:cs="Times New Roman"/>
          <w:sz w:val="24"/>
          <w:szCs w:val="24"/>
        </w:rPr>
        <w:t>a</w:t>
      </w:r>
      <w:r w:rsidR="00F17134">
        <w:rPr>
          <w:rFonts w:ascii="Times New Roman" w:eastAsia="Times New Roman" w:hAnsi="Times New Roman" w:cs="Times New Roman"/>
          <w:sz w:val="24"/>
          <w:szCs w:val="24"/>
        </w:rPr>
        <w:t>ver</w:t>
      </w:r>
      <w:r w:rsidR="00F5331B">
        <w:rPr>
          <w:rFonts w:ascii="Times New Roman" w:eastAsia="Times New Roman" w:hAnsi="Times New Roman" w:cs="Times New Roman"/>
          <w:sz w:val="24"/>
          <w:szCs w:val="24"/>
        </w:rPr>
        <w:t>red</w:t>
      </w:r>
      <w:r w:rsidR="00F17134">
        <w:rPr>
          <w:rFonts w:ascii="Times New Roman" w:eastAsia="Times New Roman" w:hAnsi="Times New Roman" w:cs="Times New Roman"/>
          <w:sz w:val="24"/>
          <w:szCs w:val="24"/>
        </w:rPr>
        <w:t xml:space="preserve"> that</w:t>
      </w:r>
      <w:r w:rsidR="00D47F9E">
        <w:rPr>
          <w:rFonts w:ascii="Times New Roman" w:eastAsia="Times New Roman" w:hAnsi="Times New Roman" w:cs="Times New Roman"/>
          <w:sz w:val="24"/>
          <w:szCs w:val="24"/>
        </w:rPr>
        <w:t xml:space="preserve"> the </w:t>
      </w:r>
      <w:r w:rsidR="00EA7F03">
        <w:rPr>
          <w:rFonts w:ascii="Times New Roman" w:eastAsia="Times New Roman" w:hAnsi="Times New Roman" w:cs="Times New Roman"/>
          <w:sz w:val="24"/>
          <w:szCs w:val="24"/>
        </w:rPr>
        <w:t>D</w:t>
      </w:r>
      <w:r w:rsidR="00D47F9E">
        <w:rPr>
          <w:rFonts w:ascii="Times New Roman" w:eastAsia="Times New Roman" w:hAnsi="Times New Roman" w:cs="Times New Roman"/>
          <w:sz w:val="24"/>
          <w:szCs w:val="24"/>
        </w:rPr>
        <w:t xml:space="preserve">emand was </w:t>
      </w:r>
      <w:r w:rsidR="00D47F9E">
        <w:rPr>
          <w:rFonts w:ascii="Times New Roman" w:eastAsia="Times New Roman" w:hAnsi="Times New Roman" w:cs="Times New Roman"/>
          <w:sz w:val="24"/>
          <w:szCs w:val="24"/>
          <w:u w:val="single"/>
        </w:rPr>
        <w:t>made</w:t>
      </w:r>
      <w:r w:rsidR="00D47F9E" w:rsidRPr="00D47F9E">
        <w:rPr>
          <w:rFonts w:ascii="Times New Roman" w:eastAsia="Times New Roman" w:hAnsi="Times New Roman" w:cs="Times New Roman"/>
          <w:sz w:val="24"/>
          <w:szCs w:val="24"/>
        </w:rPr>
        <w:t xml:space="preserve"> </w:t>
      </w:r>
      <w:r w:rsidR="00047063">
        <w:rPr>
          <w:rFonts w:ascii="Times New Roman" w:eastAsia="Times New Roman" w:hAnsi="Times New Roman" w:cs="Times New Roman"/>
          <w:sz w:val="24"/>
          <w:szCs w:val="24"/>
        </w:rPr>
        <w:t>“</w:t>
      </w:r>
      <w:r w:rsidR="00D47F9E" w:rsidRPr="00D47F9E">
        <w:rPr>
          <w:rFonts w:ascii="Times New Roman" w:eastAsia="Times New Roman" w:hAnsi="Times New Roman" w:cs="Times New Roman"/>
          <w:sz w:val="24"/>
          <w:szCs w:val="24"/>
        </w:rPr>
        <w:t xml:space="preserve">prior to </w:t>
      </w:r>
      <w:r w:rsidR="00047063">
        <w:rPr>
          <w:rFonts w:ascii="Times New Roman" w:eastAsia="Times New Roman" w:hAnsi="Times New Roman" w:cs="Times New Roman"/>
          <w:sz w:val="24"/>
          <w:szCs w:val="24"/>
        </w:rPr>
        <w:t>the hearing with the special master</w:t>
      </w:r>
      <w:r w:rsidR="00263602">
        <w:rPr>
          <w:rFonts w:ascii="Times New Roman" w:eastAsia="Times New Roman" w:hAnsi="Times New Roman" w:cs="Times New Roman"/>
          <w:sz w:val="24"/>
          <w:szCs w:val="24"/>
        </w:rPr>
        <w:t>,”</w:t>
      </w:r>
      <w:r w:rsidR="00047063">
        <w:rPr>
          <w:rFonts w:ascii="Times New Roman" w:eastAsia="Times New Roman" w:hAnsi="Times New Roman" w:cs="Times New Roman"/>
          <w:sz w:val="24"/>
          <w:szCs w:val="24"/>
        </w:rPr>
        <w:t xml:space="preserve"> but </w:t>
      </w:r>
      <w:r w:rsidR="00EA7F03">
        <w:rPr>
          <w:rFonts w:ascii="Times New Roman" w:eastAsia="Times New Roman" w:hAnsi="Times New Roman" w:cs="Times New Roman"/>
          <w:sz w:val="24"/>
          <w:szCs w:val="24"/>
        </w:rPr>
        <w:t>d</w:t>
      </w:r>
      <w:r w:rsidR="00F5331B">
        <w:rPr>
          <w:rFonts w:ascii="Times New Roman" w:eastAsia="Times New Roman" w:hAnsi="Times New Roman" w:cs="Times New Roman"/>
          <w:sz w:val="24"/>
          <w:szCs w:val="24"/>
        </w:rPr>
        <w:t xml:space="preserve">id </w:t>
      </w:r>
      <w:r w:rsidR="00EA7F03">
        <w:rPr>
          <w:rFonts w:ascii="Times New Roman" w:eastAsia="Times New Roman" w:hAnsi="Times New Roman" w:cs="Times New Roman"/>
          <w:sz w:val="24"/>
          <w:szCs w:val="24"/>
        </w:rPr>
        <w:t xml:space="preserve">NOT </w:t>
      </w:r>
      <w:r w:rsidR="00F17134">
        <w:rPr>
          <w:rFonts w:ascii="Times New Roman" w:eastAsia="Times New Roman" w:hAnsi="Times New Roman" w:cs="Times New Roman"/>
          <w:sz w:val="24"/>
          <w:szCs w:val="24"/>
        </w:rPr>
        <w:t xml:space="preserve">affirmatively represent </w:t>
      </w:r>
      <w:r w:rsidR="00047063">
        <w:rPr>
          <w:rFonts w:ascii="Times New Roman" w:eastAsia="Times New Roman" w:hAnsi="Times New Roman" w:cs="Times New Roman"/>
          <w:sz w:val="24"/>
          <w:szCs w:val="24"/>
        </w:rPr>
        <w:t xml:space="preserve">that the demand was </w:t>
      </w:r>
      <w:r w:rsidR="00047063" w:rsidRPr="00047063">
        <w:rPr>
          <w:rFonts w:ascii="Times New Roman" w:eastAsia="Times New Roman" w:hAnsi="Times New Roman" w:cs="Times New Roman"/>
          <w:sz w:val="24"/>
          <w:szCs w:val="24"/>
          <w:u w:val="single"/>
        </w:rPr>
        <w:t>filed</w:t>
      </w:r>
      <w:r w:rsidR="00047063">
        <w:rPr>
          <w:rFonts w:ascii="Times New Roman" w:eastAsia="Times New Roman" w:hAnsi="Times New Roman" w:cs="Times New Roman"/>
          <w:sz w:val="24"/>
          <w:szCs w:val="24"/>
        </w:rPr>
        <w:t xml:space="preserve"> </w:t>
      </w:r>
      <w:r w:rsidR="00263602">
        <w:rPr>
          <w:rFonts w:ascii="Times New Roman" w:eastAsia="Times New Roman" w:hAnsi="Times New Roman" w:cs="Times New Roman"/>
          <w:sz w:val="24"/>
          <w:szCs w:val="24"/>
        </w:rPr>
        <w:t>prior to the hearing.</w:t>
      </w:r>
      <w:r w:rsidR="00427B5F">
        <w:rPr>
          <w:rStyle w:val="FootnoteReference"/>
          <w:rFonts w:ascii="Times New Roman" w:eastAsia="Times New Roman" w:hAnsi="Times New Roman" w:cs="Times New Roman"/>
          <w:sz w:val="24"/>
          <w:szCs w:val="24"/>
        </w:rPr>
        <w:footnoteReference w:id="40"/>
      </w:r>
      <w:r w:rsidR="00263602">
        <w:rPr>
          <w:rFonts w:ascii="Times New Roman" w:eastAsia="Times New Roman" w:hAnsi="Times New Roman" w:cs="Times New Roman"/>
          <w:sz w:val="24"/>
          <w:szCs w:val="24"/>
        </w:rPr>
        <w:t xml:space="preserve">  P</w:t>
      </w:r>
      <w:r w:rsidR="00F5331B">
        <w:rPr>
          <w:rFonts w:ascii="Times New Roman" w:eastAsia="Times New Roman" w:hAnsi="Times New Roman" w:cs="Times New Roman"/>
          <w:sz w:val="24"/>
          <w:szCs w:val="24"/>
        </w:rPr>
        <w:t>etitioner provided testimony into the record t</w:t>
      </w:r>
      <w:r w:rsidR="00263602">
        <w:rPr>
          <w:rFonts w:ascii="Times New Roman" w:eastAsia="Times New Roman" w:hAnsi="Times New Roman" w:cs="Times New Roman"/>
          <w:sz w:val="24"/>
          <w:szCs w:val="24"/>
        </w:rPr>
        <w:t xml:space="preserve">hat “at the start of the special master hearing, but before oral testimony was given, attorney for Defendants . . . presented opposing attorneys and the Special Master with an unfiled copy of </w:t>
      </w:r>
      <w:r w:rsidR="00F17134">
        <w:rPr>
          <w:rFonts w:ascii="Times New Roman" w:eastAsia="Times New Roman" w:hAnsi="Times New Roman" w:cs="Times New Roman"/>
          <w:sz w:val="24"/>
          <w:szCs w:val="24"/>
        </w:rPr>
        <w:t>a Demand for Jury Trial . . . .”</w:t>
      </w:r>
      <w:r w:rsidR="007C1FD2">
        <w:rPr>
          <w:rStyle w:val="FootnoteReference"/>
          <w:rFonts w:ascii="Times New Roman" w:eastAsia="Times New Roman" w:hAnsi="Times New Roman" w:cs="Times New Roman"/>
          <w:sz w:val="24"/>
          <w:szCs w:val="24"/>
        </w:rPr>
        <w:footnoteReference w:id="41"/>
      </w:r>
    </w:p>
    <w:p w:rsidR="00FB1691" w:rsidRDefault="00D61893" w:rsidP="0052469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special master conducted the hearing and issued a report in favor of Petitioner some time later.</w:t>
      </w:r>
      <w:r w:rsidR="005B2176">
        <w:rPr>
          <w:rStyle w:val="FootnoteReference"/>
          <w:rFonts w:ascii="Times New Roman" w:eastAsia="Times New Roman" w:hAnsi="Times New Roman" w:cs="Times New Roman"/>
          <w:sz w:val="24"/>
          <w:szCs w:val="24"/>
        </w:rPr>
        <w:footnoteReference w:id="42"/>
      </w:r>
      <w:r>
        <w:rPr>
          <w:rFonts w:ascii="Times New Roman" w:eastAsia="Times New Roman" w:hAnsi="Times New Roman" w:cs="Times New Roman"/>
          <w:sz w:val="24"/>
          <w:szCs w:val="24"/>
        </w:rPr>
        <w:t xml:space="preserve">  Defendants filed an objection to the report</w:t>
      </w:r>
      <w:r w:rsidR="001D5730">
        <w:rPr>
          <w:rFonts w:ascii="Times New Roman" w:eastAsia="Times New Roman" w:hAnsi="Times New Roman" w:cs="Times New Roman"/>
          <w:sz w:val="24"/>
          <w:szCs w:val="24"/>
        </w:rPr>
        <w:t xml:space="preserve"> in respect to certain factual issues related the boundary between Lots 1 and 2 which Defendants believed had been reserved for a jury trial.</w:t>
      </w:r>
      <w:r w:rsidR="005B2176">
        <w:rPr>
          <w:rStyle w:val="FootnoteReference"/>
          <w:rFonts w:ascii="Times New Roman" w:eastAsia="Times New Roman" w:hAnsi="Times New Roman" w:cs="Times New Roman"/>
          <w:sz w:val="24"/>
          <w:szCs w:val="24"/>
        </w:rPr>
        <w:footnoteReference w:id="43"/>
      </w:r>
      <w:r w:rsidR="001D5730">
        <w:rPr>
          <w:rFonts w:ascii="Times New Roman" w:eastAsia="Times New Roman" w:hAnsi="Times New Roman" w:cs="Times New Roman"/>
          <w:sz w:val="24"/>
          <w:szCs w:val="24"/>
        </w:rPr>
        <w:t xml:space="preserve">  </w:t>
      </w:r>
      <w:r w:rsidR="0055511F">
        <w:rPr>
          <w:rFonts w:ascii="Times New Roman" w:eastAsia="Times New Roman" w:hAnsi="Times New Roman" w:cs="Times New Roman"/>
          <w:sz w:val="24"/>
          <w:szCs w:val="24"/>
        </w:rPr>
        <w:t xml:space="preserve">At the hearing in superior court, Petitioner noted that two affidavits from the clerk of court had been filed into the record </w:t>
      </w:r>
      <w:r w:rsidR="0014615B">
        <w:rPr>
          <w:rFonts w:ascii="Times New Roman" w:eastAsia="Times New Roman" w:hAnsi="Times New Roman" w:cs="Times New Roman"/>
          <w:sz w:val="24"/>
          <w:szCs w:val="24"/>
        </w:rPr>
        <w:t>– the first affidavit indicated that the Demand had been filed prior to the hearing, but the second affidavit co</w:t>
      </w:r>
      <w:r w:rsidR="00320156">
        <w:rPr>
          <w:rFonts w:ascii="Times New Roman" w:eastAsia="Times New Roman" w:hAnsi="Times New Roman" w:cs="Times New Roman"/>
          <w:sz w:val="24"/>
          <w:szCs w:val="24"/>
        </w:rPr>
        <w:t>ntradicted and co</w:t>
      </w:r>
      <w:r w:rsidR="0014615B">
        <w:rPr>
          <w:rFonts w:ascii="Times New Roman" w:eastAsia="Times New Roman" w:hAnsi="Times New Roman" w:cs="Times New Roman"/>
          <w:sz w:val="24"/>
          <w:szCs w:val="24"/>
        </w:rPr>
        <w:t>rrected the first and indicated that the clerk had no knowledge if the Demand</w:t>
      </w:r>
      <w:r w:rsidR="00320156">
        <w:rPr>
          <w:rFonts w:ascii="Times New Roman" w:eastAsia="Times New Roman" w:hAnsi="Times New Roman" w:cs="Times New Roman"/>
          <w:sz w:val="24"/>
          <w:szCs w:val="24"/>
        </w:rPr>
        <w:t xml:space="preserve"> was filed prior to the hearing – only that the Demand was filed at some point on June 13.</w:t>
      </w:r>
      <w:r w:rsidR="005B2176">
        <w:rPr>
          <w:rStyle w:val="FootnoteReference"/>
          <w:rFonts w:ascii="Times New Roman" w:eastAsia="Times New Roman" w:hAnsi="Times New Roman" w:cs="Times New Roman"/>
          <w:sz w:val="24"/>
          <w:szCs w:val="24"/>
        </w:rPr>
        <w:footnoteReference w:id="44"/>
      </w:r>
      <w:r w:rsidR="00320156">
        <w:rPr>
          <w:rFonts w:ascii="Times New Roman" w:eastAsia="Times New Roman" w:hAnsi="Times New Roman" w:cs="Times New Roman"/>
          <w:sz w:val="24"/>
          <w:szCs w:val="24"/>
        </w:rPr>
        <w:t xml:space="preserve">  </w:t>
      </w:r>
    </w:p>
    <w:p w:rsidR="006C77A4" w:rsidRDefault="00320156" w:rsidP="0052469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Petitioner argued that the Demand had been given to the Special Master prior to the hearing but that it had not been filed until AFTER the hearing.  Defendants’ counsel stated</w:t>
      </w:r>
      <w:r w:rsidR="00565454">
        <w:rPr>
          <w:rFonts w:ascii="Times New Roman" w:eastAsia="Times New Roman" w:hAnsi="Times New Roman" w:cs="Times New Roman"/>
          <w:sz w:val="24"/>
          <w:szCs w:val="24"/>
        </w:rPr>
        <w:t xml:space="preserve">, and later provided a sworn statement, </w:t>
      </w:r>
      <w:r>
        <w:rPr>
          <w:rFonts w:ascii="Times New Roman" w:eastAsia="Times New Roman" w:hAnsi="Times New Roman" w:cs="Times New Roman"/>
          <w:sz w:val="24"/>
          <w:szCs w:val="24"/>
        </w:rPr>
        <w:t xml:space="preserve">that he did file the Demand </w:t>
      </w:r>
      <w:r w:rsidR="00096A72">
        <w:rPr>
          <w:rFonts w:ascii="Times New Roman" w:eastAsia="Times New Roman" w:hAnsi="Times New Roman" w:cs="Times New Roman"/>
          <w:sz w:val="24"/>
          <w:szCs w:val="24"/>
        </w:rPr>
        <w:t>prior to the hearing.</w:t>
      </w:r>
      <w:r w:rsidR="007C1FD2">
        <w:rPr>
          <w:rStyle w:val="FootnoteReference"/>
          <w:rFonts w:ascii="Times New Roman" w:eastAsia="Times New Roman" w:hAnsi="Times New Roman" w:cs="Times New Roman"/>
          <w:sz w:val="24"/>
          <w:szCs w:val="24"/>
        </w:rPr>
        <w:footnoteReference w:id="45"/>
      </w:r>
      <w:r w:rsidR="00096A72">
        <w:rPr>
          <w:rFonts w:ascii="Times New Roman" w:eastAsia="Times New Roman" w:hAnsi="Times New Roman" w:cs="Times New Roman"/>
          <w:sz w:val="24"/>
          <w:szCs w:val="24"/>
        </w:rPr>
        <w:t xml:space="preserve">  The </w:t>
      </w:r>
      <w:r w:rsidR="007E6F80">
        <w:rPr>
          <w:rFonts w:ascii="Times New Roman" w:eastAsia="Times New Roman" w:hAnsi="Times New Roman" w:cs="Times New Roman"/>
          <w:sz w:val="24"/>
          <w:szCs w:val="24"/>
        </w:rPr>
        <w:t>Trial C</w:t>
      </w:r>
      <w:r w:rsidR="00096A72">
        <w:rPr>
          <w:rFonts w:ascii="Times New Roman" w:eastAsia="Times New Roman" w:hAnsi="Times New Roman" w:cs="Times New Roman"/>
          <w:sz w:val="24"/>
          <w:szCs w:val="24"/>
        </w:rPr>
        <w:t xml:space="preserve">ourt took the matter under advisement and eventually entered an order adopting the Special Master’s report and holding that Defendants had not timely invoked their statutory right to a jury </w:t>
      </w:r>
      <w:r w:rsidR="00096A72">
        <w:rPr>
          <w:rFonts w:ascii="Times New Roman" w:eastAsia="Times New Roman" w:hAnsi="Times New Roman" w:cs="Times New Roman"/>
          <w:sz w:val="24"/>
          <w:szCs w:val="24"/>
        </w:rPr>
        <w:lastRenderedPageBreak/>
        <w:t>trial</w:t>
      </w:r>
      <w:r w:rsidR="00770E76">
        <w:rPr>
          <w:rFonts w:ascii="Times New Roman" w:eastAsia="Times New Roman" w:hAnsi="Times New Roman" w:cs="Times New Roman"/>
          <w:sz w:val="24"/>
          <w:szCs w:val="24"/>
        </w:rPr>
        <w:t xml:space="preserve">.  The </w:t>
      </w:r>
      <w:r w:rsidR="007E6F80">
        <w:rPr>
          <w:rFonts w:ascii="Times New Roman" w:eastAsia="Times New Roman" w:hAnsi="Times New Roman" w:cs="Times New Roman"/>
          <w:sz w:val="24"/>
          <w:szCs w:val="24"/>
        </w:rPr>
        <w:t xml:space="preserve">Trial </w:t>
      </w:r>
      <w:r w:rsidR="00770E76">
        <w:rPr>
          <w:rFonts w:ascii="Times New Roman" w:eastAsia="Times New Roman" w:hAnsi="Times New Roman" w:cs="Times New Roman"/>
          <w:sz w:val="24"/>
          <w:szCs w:val="24"/>
        </w:rPr>
        <w:t xml:space="preserve">Court held that, as a matter of fact, the </w:t>
      </w:r>
      <w:r w:rsidR="00FB1691">
        <w:rPr>
          <w:rFonts w:ascii="Times New Roman" w:eastAsia="Times New Roman" w:hAnsi="Times New Roman" w:cs="Times New Roman"/>
          <w:sz w:val="24"/>
          <w:szCs w:val="24"/>
        </w:rPr>
        <w:t xml:space="preserve">clerk’s </w:t>
      </w:r>
      <w:r w:rsidR="00770E76">
        <w:rPr>
          <w:rFonts w:ascii="Times New Roman" w:eastAsia="Times New Roman" w:hAnsi="Times New Roman" w:cs="Times New Roman"/>
          <w:sz w:val="24"/>
          <w:szCs w:val="24"/>
        </w:rPr>
        <w:t>second affidavit controlled and indicated that Defendants had failed to file prior to the hearing.</w:t>
      </w:r>
      <w:r w:rsidR="003372DB">
        <w:rPr>
          <w:rStyle w:val="FootnoteReference"/>
          <w:rFonts w:ascii="Times New Roman" w:eastAsia="Times New Roman" w:hAnsi="Times New Roman" w:cs="Times New Roman"/>
          <w:sz w:val="24"/>
          <w:szCs w:val="24"/>
        </w:rPr>
        <w:footnoteReference w:id="46"/>
      </w:r>
    </w:p>
    <w:p w:rsidR="00015A22" w:rsidRDefault="00770E76" w:rsidP="0052469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Court of Appeals, </w:t>
      </w:r>
      <w:r w:rsidR="00880458">
        <w:rPr>
          <w:rFonts w:ascii="Times New Roman" w:eastAsia="Times New Roman" w:hAnsi="Times New Roman" w:cs="Times New Roman"/>
          <w:sz w:val="24"/>
          <w:szCs w:val="24"/>
        </w:rPr>
        <w:t xml:space="preserve">ruling </w:t>
      </w:r>
      <w:r w:rsidRPr="003372DB">
        <w:rPr>
          <w:rFonts w:ascii="Times New Roman" w:eastAsia="Times New Roman" w:hAnsi="Times New Roman" w:cs="Times New Roman"/>
          <w:i/>
          <w:sz w:val="24"/>
          <w:szCs w:val="24"/>
        </w:rPr>
        <w:t>en banc</w:t>
      </w:r>
      <w:r>
        <w:rPr>
          <w:rFonts w:ascii="Times New Roman" w:eastAsia="Times New Roman" w:hAnsi="Times New Roman" w:cs="Times New Roman"/>
          <w:sz w:val="24"/>
          <w:szCs w:val="24"/>
        </w:rPr>
        <w:t>, reversed.</w:t>
      </w:r>
      <w:r w:rsidR="00565454">
        <w:rPr>
          <w:rStyle w:val="FootnoteReference"/>
          <w:rFonts w:ascii="Times New Roman" w:eastAsia="Times New Roman" w:hAnsi="Times New Roman" w:cs="Times New Roman"/>
          <w:sz w:val="24"/>
          <w:szCs w:val="24"/>
        </w:rPr>
        <w:footnoteReference w:id="47"/>
      </w:r>
      <w:r w:rsidR="00015A22">
        <w:rPr>
          <w:rFonts w:ascii="Times New Roman" w:eastAsia="Times New Roman" w:hAnsi="Times New Roman" w:cs="Times New Roman"/>
          <w:sz w:val="24"/>
          <w:szCs w:val="24"/>
        </w:rPr>
        <w:t xml:space="preserve">  Parsing O.C.G.A. § 23-3-66, the Court of Appeals noted that </w:t>
      </w:r>
    </w:p>
    <w:p w:rsidR="007E6F80" w:rsidRDefault="007E6F80" w:rsidP="007E6F80">
      <w:pPr>
        <w:spacing w:after="120" w:line="24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15A22">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00015A22">
        <w:rPr>
          <w:rFonts w:ascii="Times New Roman" w:eastAsia="Times New Roman" w:hAnsi="Times New Roman" w:cs="Times New Roman"/>
          <w:sz w:val="24"/>
          <w:szCs w:val="24"/>
        </w:rPr>
        <w:t>lthough no case directly so holds, the great majority of Supreme Court cases addressing the timing of a jury demand in a quiet title action state that the demand must be “filed” prior to the special master hearing.</w:t>
      </w:r>
    </w:p>
    <w:p w:rsidR="00770E76" w:rsidRDefault="0003113C" w:rsidP="00714A2E">
      <w:pPr>
        <w:spacing w:after="0" w:line="36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Court of Appeals placed great weight on the statement from Defendants’ counsel, noting that </w:t>
      </w:r>
      <w:r w:rsidR="009F54BA">
        <w:rPr>
          <w:rFonts w:ascii="Times New Roman" w:eastAsia="Times New Roman" w:hAnsi="Times New Roman" w:cs="Times New Roman"/>
          <w:sz w:val="24"/>
          <w:szCs w:val="24"/>
        </w:rPr>
        <w:t>attorneys take an oath upon admission to the bar and are deemed to speak the truth and to be bound by statements in open court.</w:t>
      </w:r>
      <w:r w:rsidR="003372DB">
        <w:rPr>
          <w:rStyle w:val="FootnoteReference"/>
          <w:rFonts w:ascii="Times New Roman" w:eastAsia="Times New Roman" w:hAnsi="Times New Roman" w:cs="Times New Roman"/>
          <w:sz w:val="24"/>
          <w:szCs w:val="24"/>
        </w:rPr>
        <w:footnoteReference w:id="48"/>
      </w:r>
      <w:r w:rsidR="009F54BA">
        <w:rPr>
          <w:rFonts w:ascii="Times New Roman" w:eastAsia="Times New Roman" w:hAnsi="Times New Roman" w:cs="Times New Roman"/>
          <w:sz w:val="24"/>
          <w:szCs w:val="24"/>
        </w:rPr>
        <w:t xml:space="preserve">  The Court of Appeals further noted that the clerk’s second affidavit </w:t>
      </w:r>
      <w:r w:rsidR="00736A7A">
        <w:rPr>
          <w:rFonts w:ascii="Times New Roman" w:eastAsia="Times New Roman" w:hAnsi="Times New Roman" w:cs="Times New Roman"/>
          <w:sz w:val="24"/>
          <w:szCs w:val="24"/>
        </w:rPr>
        <w:t>averred that he had no knowledge as to the specific timing of the filing for the Demand and that the clerk’s office had no official record that could prove that the Demand was filed prior to the hearing.</w:t>
      </w:r>
      <w:r w:rsidR="0014520B">
        <w:rPr>
          <w:rStyle w:val="FootnoteReference"/>
          <w:rFonts w:ascii="Times New Roman" w:eastAsia="Times New Roman" w:hAnsi="Times New Roman" w:cs="Times New Roman"/>
          <w:sz w:val="24"/>
          <w:szCs w:val="24"/>
        </w:rPr>
        <w:footnoteReference w:id="49"/>
      </w:r>
      <w:r w:rsidR="000837E3">
        <w:rPr>
          <w:rFonts w:ascii="Times New Roman" w:eastAsia="Times New Roman" w:hAnsi="Times New Roman" w:cs="Times New Roman"/>
          <w:sz w:val="24"/>
          <w:szCs w:val="24"/>
        </w:rPr>
        <w:t xml:space="preserve">  The Court of Appeals opined that what was missing from the clerk’s affidavit was as important as what was included: there was no averment that the clerk’s records were capable of proving wh</w:t>
      </w:r>
      <w:r w:rsidR="00FD2117">
        <w:rPr>
          <w:rFonts w:ascii="Times New Roman" w:eastAsia="Times New Roman" w:hAnsi="Times New Roman" w:cs="Times New Roman"/>
          <w:sz w:val="24"/>
          <w:szCs w:val="24"/>
        </w:rPr>
        <w:t xml:space="preserve">at time a document was filed, that the clerk knew at what time the hearing was held, or that the clerk had a record indicating that the Demand was filed </w:t>
      </w:r>
      <w:r w:rsidR="00FD2117" w:rsidRPr="00FD2117">
        <w:rPr>
          <w:rFonts w:ascii="Times New Roman" w:eastAsia="Times New Roman" w:hAnsi="Times New Roman" w:cs="Times New Roman"/>
          <w:i/>
          <w:sz w:val="24"/>
          <w:szCs w:val="24"/>
        </w:rPr>
        <w:t>after</w:t>
      </w:r>
      <w:r w:rsidR="00FD2117">
        <w:rPr>
          <w:rFonts w:ascii="Times New Roman" w:eastAsia="Times New Roman" w:hAnsi="Times New Roman" w:cs="Times New Roman"/>
          <w:sz w:val="24"/>
          <w:szCs w:val="24"/>
        </w:rPr>
        <w:t xml:space="preserve"> the </w:t>
      </w:r>
      <w:r w:rsidR="00714A2E">
        <w:rPr>
          <w:rFonts w:ascii="Times New Roman" w:eastAsia="Times New Roman" w:hAnsi="Times New Roman" w:cs="Times New Roman"/>
          <w:sz w:val="24"/>
          <w:szCs w:val="24"/>
        </w:rPr>
        <w:t xml:space="preserve">commencement of the </w:t>
      </w:r>
      <w:r w:rsidR="00FD2117">
        <w:rPr>
          <w:rFonts w:ascii="Times New Roman" w:eastAsia="Times New Roman" w:hAnsi="Times New Roman" w:cs="Times New Roman"/>
          <w:sz w:val="24"/>
          <w:szCs w:val="24"/>
        </w:rPr>
        <w:t>Special Master’s hearing.</w:t>
      </w:r>
      <w:r w:rsidR="0014520B">
        <w:rPr>
          <w:rStyle w:val="FootnoteReference"/>
          <w:rFonts w:ascii="Times New Roman" w:eastAsia="Times New Roman" w:hAnsi="Times New Roman" w:cs="Times New Roman"/>
          <w:sz w:val="24"/>
          <w:szCs w:val="24"/>
        </w:rPr>
        <w:footnoteReference w:id="50"/>
      </w:r>
      <w:r w:rsidR="00714A2E">
        <w:rPr>
          <w:rFonts w:ascii="Times New Roman" w:eastAsia="Times New Roman" w:hAnsi="Times New Roman" w:cs="Times New Roman"/>
          <w:sz w:val="24"/>
          <w:szCs w:val="24"/>
        </w:rPr>
        <w:t xml:space="preserve">  Thus, according to the Court of Appeals, the clerk’s affidavit did NOT contradict the statement of Defendants’ counsel – instead, it created “at best, a mere inconclusive inference insufficient to [create an issue of fact].”</w:t>
      </w:r>
      <w:r w:rsidR="00207C70">
        <w:rPr>
          <w:rStyle w:val="FootnoteReference"/>
          <w:rFonts w:ascii="Times New Roman" w:eastAsia="Times New Roman" w:hAnsi="Times New Roman" w:cs="Times New Roman"/>
          <w:sz w:val="24"/>
          <w:szCs w:val="24"/>
        </w:rPr>
        <w:footnoteReference w:id="51"/>
      </w:r>
    </w:p>
    <w:p w:rsidR="00714A2E" w:rsidRPr="00FD2117" w:rsidRDefault="00714A2E" w:rsidP="00714A2E">
      <w:pPr>
        <w:spacing w:after="0" w:line="36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07C70">
        <w:rPr>
          <w:rFonts w:ascii="Times New Roman" w:eastAsia="Times New Roman" w:hAnsi="Times New Roman" w:cs="Times New Roman"/>
          <w:sz w:val="24"/>
          <w:szCs w:val="24"/>
        </w:rPr>
        <w:t>Ultimately, t</w:t>
      </w:r>
      <w:r w:rsidR="00AA174F">
        <w:rPr>
          <w:rFonts w:ascii="Times New Roman" w:eastAsia="Times New Roman" w:hAnsi="Times New Roman" w:cs="Times New Roman"/>
          <w:sz w:val="24"/>
          <w:szCs w:val="24"/>
        </w:rPr>
        <w:t xml:space="preserve">he Court of Appeals </w:t>
      </w:r>
      <w:r w:rsidR="00207C70">
        <w:rPr>
          <w:rFonts w:ascii="Times New Roman" w:eastAsia="Times New Roman" w:hAnsi="Times New Roman" w:cs="Times New Roman"/>
          <w:sz w:val="24"/>
          <w:szCs w:val="24"/>
        </w:rPr>
        <w:t xml:space="preserve">formally </w:t>
      </w:r>
      <w:r w:rsidR="003C531A">
        <w:rPr>
          <w:rFonts w:ascii="Times New Roman" w:eastAsia="Times New Roman" w:hAnsi="Times New Roman" w:cs="Times New Roman"/>
          <w:sz w:val="24"/>
          <w:szCs w:val="24"/>
        </w:rPr>
        <w:t xml:space="preserve">(i) </w:t>
      </w:r>
      <w:r w:rsidR="00AA174F">
        <w:rPr>
          <w:rFonts w:ascii="Times New Roman" w:eastAsia="Times New Roman" w:hAnsi="Times New Roman" w:cs="Times New Roman"/>
          <w:sz w:val="24"/>
          <w:szCs w:val="24"/>
        </w:rPr>
        <w:t>held that the Trial Court erred in finding as a matter of fact that the Demand was filed after the commencement of the Special Master’s hearing</w:t>
      </w:r>
      <w:r w:rsidR="003C531A">
        <w:rPr>
          <w:rFonts w:ascii="Times New Roman" w:eastAsia="Times New Roman" w:hAnsi="Times New Roman" w:cs="Times New Roman"/>
          <w:sz w:val="24"/>
          <w:szCs w:val="24"/>
        </w:rPr>
        <w:t>; (ii) reversed the Trial Court’</w:t>
      </w:r>
      <w:r w:rsidR="000144A5">
        <w:rPr>
          <w:rFonts w:ascii="Times New Roman" w:eastAsia="Times New Roman" w:hAnsi="Times New Roman" w:cs="Times New Roman"/>
          <w:sz w:val="24"/>
          <w:szCs w:val="24"/>
        </w:rPr>
        <w:t xml:space="preserve">s judgment; (iii) reversed the Trial Court’s entry of the Special Master’s findings, since it included findings of fact; </w:t>
      </w:r>
      <w:r w:rsidR="003C531A">
        <w:rPr>
          <w:rFonts w:ascii="Times New Roman" w:eastAsia="Times New Roman" w:hAnsi="Times New Roman" w:cs="Times New Roman"/>
          <w:sz w:val="24"/>
          <w:szCs w:val="24"/>
        </w:rPr>
        <w:t>(i</w:t>
      </w:r>
      <w:r w:rsidR="000144A5">
        <w:rPr>
          <w:rFonts w:ascii="Times New Roman" w:eastAsia="Times New Roman" w:hAnsi="Times New Roman" w:cs="Times New Roman"/>
          <w:sz w:val="24"/>
          <w:szCs w:val="24"/>
        </w:rPr>
        <w:t>v</w:t>
      </w:r>
      <w:r w:rsidR="003C531A">
        <w:rPr>
          <w:rFonts w:ascii="Times New Roman" w:eastAsia="Times New Roman" w:hAnsi="Times New Roman" w:cs="Times New Roman"/>
          <w:sz w:val="24"/>
          <w:szCs w:val="24"/>
        </w:rPr>
        <w:t xml:space="preserve">) reserved for remand the issue of the </w:t>
      </w:r>
      <w:r w:rsidR="000144A5">
        <w:rPr>
          <w:rFonts w:ascii="Times New Roman" w:eastAsia="Times New Roman" w:hAnsi="Times New Roman" w:cs="Times New Roman"/>
          <w:sz w:val="24"/>
          <w:szCs w:val="24"/>
        </w:rPr>
        <w:t xml:space="preserve">scope of the jury demand itself; and (V) remanded </w:t>
      </w:r>
      <w:r w:rsidR="000144A5">
        <w:rPr>
          <w:rFonts w:ascii="Times New Roman" w:eastAsia="Times New Roman" w:hAnsi="Times New Roman" w:cs="Times New Roman"/>
          <w:sz w:val="24"/>
          <w:szCs w:val="24"/>
        </w:rPr>
        <w:lastRenderedPageBreak/>
        <w:t>the issue back to the Trial Court for further proceedings consistent with the Court of Appeals’ opinion.</w:t>
      </w:r>
      <w:r w:rsidR="000F650D">
        <w:rPr>
          <w:rStyle w:val="FootnoteReference"/>
          <w:rFonts w:ascii="Times New Roman" w:eastAsia="Times New Roman" w:hAnsi="Times New Roman" w:cs="Times New Roman"/>
          <w:sz w:val="24"/>
          <w:szCs w:val="24"/>
        </w:rPr>
        <w:footnoteReference w:id="52"/>
      </w:r>
    </w:p>
    <w:p w:rsidR="00CA4C63" w:rsidRPr="00762CFC" w:rsidRDefault="00BF5A23" w:rsidP="002B3299">
      <w:pPr>
        <w:pStyle w:val="ListParagraph"/>
        <w:numPr>
          <w:ilvl w:val="0"/>
          <w:numId w:val="3"/>
        </w:numPr>
        <w:spacing w:after="0" w:line="360" w:lineRule="auto"/>
        <w:ind w:left="1440" w:hanging="720"/>
        <w:rPr>
          <w:rFonts w:ascii="Times New Roman" w:eastAsia="Times New Roman" w:hAnsi="Times New Roman" w:cs="Times New Roman"/>
          <w:b/>
          <w:sz w:val="24"/>
          <w:szCs w:val="24"/>
        </w:rPr>
      </w:pPr>
      <w:r w:rsidRPr="00762CFC">
        <w:rPr>
          <w:rFonts w:ascii="Times New Roman" w:eastAsia="Times New Roman" w:hAnsi="Times New Roman" w:cs="Times New Roman"/>
          <w:b/>
          <w:sz w:val="24"/>
          <w:szCs w:val="24"/>
        </w:rPr>
        <w:t>Stand</w:t>
      </w:r>
      <w:r w:rsidR="004B3EF5" w:rsidRPr="00762CFC">
        <w:rPr>
          <w:rFonts w:ascii="Times New Roman" w:eastAsia="Times New Roman" w:hAnsi="Times New Roman" w:cs="Times New Roman"/>
          <w:b/>
          <w:sz w:val="24"/>
          <w:szCs w:val="24"/>
        </w:rPr>
        <w:t>ing to Bring Quiet Title Actions is Fairly Broad</w:t>
      </w:r>
      <w:r w:rsidRPr="00762CFC">
        <w:rPr>
          <w:rFonts w:ascii="Times New Roman" w:eastAsia="Times New Roman" w:hAnsi="Times New Roman" w:cs="Times New Roman"/>
          <w:b/>
          <w:sz w:val="24"/>
          <w:szCs w:val="24"/>
        </w:rPr>
        <w:t>.</w:t>
      </w:r>
    </w:p>
    <w:p w:rsidR="00CA4C63" w:rsidRPr="00762CFC" w:rsidRDefault="00CA4C63" w:rsidP="00BB2219">
      <w:pPr>
        <w:spacing w:after="120" w:line="240" w:lineRule="auto"/>
        <w:jc w:val="both"/>
        <w:rPr>
          <w:rFonts w:ascii="Times New Roman" w:eastAsia="Times New Roman" w:hAnsi="Times New Roman" w:cs="Times New Roman"/>
          <w:b/>
          <w:sz w:val="24"/>
          <w:szCs w:val="24"/>
        </w:rPr>
      </w:pPr>
      <w:r w:rsidRPr="00762CFC">
        <w:rPr>
          <w:rFonts w:ascii="Times New Roman" w:eastAsia="Times New Roman" w:hAnsi="Times New Roman" w:cs="Times New Roman"/>
          <w:b/>
          <w:sz w:val="24"/>
          <w:szCs w:val="24"/>
          <w:u w:val="single"/>
        </w:rPr>
        <w:t>Johnson v. Bank of Am., N.A.</w:t>
      </w:r>
      <w:r w:rsidRPr="00762CFC">
        <w:rPr>
          <w:rFonts w:ascii="Times New Roman" w:eastAsia="Times New Roman" w:hAnsi="Times New Roman" w:cs="Times New Roman"/>
          <w:b/>
          <w:sz w:val="24"/>
          <w:szCs w:val="24"/>
        </w:rPr>
        <w:t xml:space="preserve">, 333 Ga. App. 539, 773 S.E.2d 810 (2015), </w:t>
      </w:r>
      <w:r w:rsidRPr="00762CFC">
        <w:rPr>
          <w:rFonts w:ascii="Times New Roman" w:eastAsia="Times New Roman" w:hAnsi="Times New Roman" w:cs="Times New Roman"/>
          <w:b/>
          <w:sz w:val="24"/>
          <w:szCs w:val="24"/>
          <w:u w:val="single"/>
        </w:rPr>
        <w:t>reconsideration denied</w:t>
      </w:r>
      <w:r w:rsidRPr="00762CFC">
        <w:rPr>
          <w:rFonts w:ascii="Times New Roman" w:eastAsia="Times New Roman" w:hAnsi="Times New Roman" w:cs="Times New Roman"/>
          <w:b/>
          <w:sz w:val="24"/>
          <w:szCs w:val="24"/>
        </w:rPr>
        <w:t xml:space="preserve"> (July 29, 2015), </w:t>
      </w:r>
      <w:r w:rsidRPr="00762CFC">
        <w:rPr>
          <w:rFonts w:ascii="Times New Roman" w:eastAsia="Times New Roman" w:hAnsi="Times New Roman" w:cs="Times New Roman"/>
          <w:b/>
          <w:sz w:val="24"/>
          <w:szCs w:val="24"/>
          <w:u w:val="single"/>
        </w:rPr>
        <w:t>cert. granted</w:t>
      </w:r>
      <w:r w:rsidRPr="00762CFC">
        <w:rPr>
          <w:rFonts w:ascii="Times New Roman" w:eastAsia="Times New Roman" w:hAnsi="Times New Roman" w:cs="Times New Roman"/>
          <w:b/>
          <w:sz w:val="24"/>
          <w:szCs w:val="24"/>
        </w:rPr>
        <w:t xml:space="preserve"> (Apr. 26, 2016).</w:t>
      </w:r>
    </w:p>
    <w:p w:rsidR="00345BA8" w:rsidRPr="00762CFC" w:rsidRDefault="003E5EF5" w:rsidP="00BB2219">
      <w:pPr>
        <w:spacing w:after="120" w:line="240" w:lineRule="auto"/>
        <w:jc w:val="both"/>
        <w:rPr>
          <w:rFonts w:ascii="Times New Roman" w:eastAsia="Times New Roman" w:hAnsi="Times New Roman" w:cs="Times New Roman"/>
          <w:b/>
          <w:sz w:val="24"/>
          <w:szCs w:val="24"/>
        </w:rPr>
      </w:pPr>
      <w:r w:rsidRPr="00762CFC">
        <w:rPr>
          <w:rFonts w:ascii="Times New Roman" w:eastAsia="Times New Roman" w:hAnsi="Times New Roman" w:cs="Times New Roman"/>
          <w:b/>
          <w:sz w:val="24"/>
          <w:szCs w:val="24"/>
        </w:rPr>
        <w:t>Held: Pr</w:t>
      </w:r>
      <w:r w:rsidR="00865919" w:rsidRPr="00762CFC">
        <w:rPr>
          <w:rFonts w:ascii="Times New Roman" w:eastAsia="Times New Roman" w:hAnsi="Times New Roman" w:cs="Times New Roman"/>
          <w:b/>
          <w:sz w:val="24"/>
          <w:szCs w:val="24"/>
        </w:rPr>
        <w:t>operty owner need not be party to assignments of security deeds to challenge them in quiet title action.</w:t>
      </w:r>
    </w:p>
    <w:p w:rsidR="00035284" w:rsidRPr="00762CFC" w:rsidRDefault="00CA4C63"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Plaintiff property owne</w:t>
      </w:r>
      <w:r w:rsidR="001307F6" w:rsidRPr="00762CFC">
        <w:rPr>
          <w:rFonts w:ascii="Times New Roman" w:eastAsia="Times New Roman" w:hAnsi="Times New Roman" w:cs="Times New Roman"/>
          <w:sz w:val="24"/>
          <w:szCs w:val="24"/>
        </w:rPr>
        <w:t>r</w:t>
      </w:r>
      <w:r w:rsidR="00266D13" w:rsidRPr="00762CFC">
        <w:rPr>
          <w:rFonts w:ascii="Times New Roman" w:eastAsia="Times New Roman" w:hAnsi="Times New Roman" w:cs="Times New Roman"/>
          <w:sz w:val="24"/>
          <w:szCs w:val="24"/>
        </w:rPr>
        <w:t xml:space="preserve"> purchased </w:t>
      </w:r>
      <w:r w:rsidR="008A0C7C" w:rsidRPr="00762CFC">
        <w:rPr>
          <w:rFonts w:ascii="Times New Roman" w:eastAsia="Times New Roman" w:hAnsi="Times New Roman" w:cs="Times New Roman"/>
          <w:sz w:val="24"/>
          <w:szCs w:val="24"/>
        </w:rPr>
        <w:t>the P</w:t>
      </w:r>
      <w:r w:rsidRPr="00762CFC">
        <w:rPr>
          <w:rFonts w:ascii="Times New Roman" w:eastAsia="Times New Roman" w:hAnsi="Times New Roman" w:cs="Times New Roman"/>
          <w:sz w:val="24"/>
          <w:szCs w:val="24"/>
        </w:rPr>
        <w:t>roperty in fee simple pursuant to a 2006 warranty deed</w:t>
      </w:r>
      <w:r w:rsidR="00266D13" w:rsidRPr="00762CFC">
        <w:rPr>
          <w:rFonts w:ascii="Times New Roman" w:eastAsia="Times New Roman" w:hAnsi="Times New Roman" w:cs="Times New Roman"/>
          <w:sz w:val="24"/>
          <w:szCs w:val="24"/>
        </w:rPr>
        <w:t xml:space="preserve">.  </w:t>
      </w:r>
      <w:r w:rsidR="00F0378E" w:rsidRPr="00762CFC">
        <w:rPr>
          <w:rFonts w:ascii="Times New Roman" w:eastAsia="Times New Roman" w:hAnsi="Times New Roman" w:cs="Times New Roman"/>
          <w:sz w:val="24"/>
          <w:szCs w:val="24"/>
        </w:rPr>
        <w:t xml:space="preserve">Pine State Bank </w:t>
      </w:r>
      <w:r w:rsidR="00F67B48" w:rsidRPr="00762CFC">
        <w:rPr>
          <w:rFonts w:ascii="Times New Roman" w:eastAsia="Times New Roman" w:hAnsi="Times New Roman" w:cs="Times New Roman"/>
          <w:sz w:val="24"/>
          <w:szCs w:val="24"/>
        </w:rPr>
        <w:t xml:space="preserve">held a security interest in the </w:t>
      </w:r>
      <w:r w:rsidR="008A0C7C" w:rsidRPr="00762CFC">
        <w:rPr>
          <w:rFonts w:ascii="Times New Roman" w:eastAsia="Times New Roman" w:hAnsi="Times New Roman" w:cs="Times New Roman"/>
          <w:sz w:val="24"/>
          <w:szCs w:val="24"/>
        </w:rPr>
        <w:t>P</w:t>
      </w:r>
      <w:r w:rsidR="00F67B48" w:rsidRPr="00762CFC">
        <w:rPr>
          <w:rFonts w:ascii="Times New Roman" w:eastAsia="Times New Roman" w:hAnsi="Times New Roman" w:cs="Times New Roman"/>
          <w:sz w:val="24"/>
          <w:szCs w:val="24"/>
        </w:rPr>
        <w:t xml:space="preserve">roperty </w:t>
      </w:r>
      <w:r w:rsidR="008A0C7C" w:rsidRPr="00762CFC">
        <w:rPr>
          <w:rFonts w:ascii="Times New Roman" w:eastAsia="Times New Roman" w:hAnsi="Times New Roman" w:cs="Times New Roman"/>
          <w:sz w:val="24"/>
          <w:szCs w:val="24"/>
        </w:rPr>
        <w:t xml:space="preserve">but, apparently, assigned that interest in 2011 or 2012 </w:t>
      </w:r>
      <w:r w:rsidR="00266D13" w:rsidRPr="00762CFC">
        <w:rPr>
          <w:rFonts w:ascii="Times New Roman" w:eastAsia="Times New Roman" w:hAnsi="Times New Roman" w:cs="Times New Roman"/>
          <w:sz w:val="24"/>
          <w:szCs w:val="24"/>
        </w:rPr>
        <w:t xml:space="preserve">to Bank of America, N.A. </w:t>
      </w:r>
      <w:r w:rsidR="00764837" w:rsidRPr="00762CFC">
        <w:rPr>
          <w:rFonts w:ascii="Times New Roman" w:eastAsia="Times New Roman" w:hAnsi="Times New Roman" w:cs="Times New Roman"/>
          <w:sz w:val="24"/>
          <w:szCs w:val="24"/>
        </w:rPr>
        <w:t>a</w:t>
      </w:r>
      <w:r w:rsidR="00266D13" w:rsidRPr="00762CFC">
        <w:rPr>
          <w:rFonts w:ascii="Times New Roman" w:eastAsia="Times New Roman" w:hAnsi="Times New Roman" w:cs="Times New Roman"/>
          <w:sz w:val="24"/>
          <w:szCs w:val="24"/>
        </w:rPr>
        <w:t>nd The Bank of New York Mellon (</w:t>
      </w:r>
      <w:r w:rsidR="00764837" w:rsidRPr="00762CFC">
        <w:rPr>
          <w:rFonts w:ascii="Times New Roman" w:eastAsia="Times New Roman" w:hAnsi="Times New Roman" w:cs="Times New Roman"/>
          <w:sz w:val="24"/>
          <w:szCs w:val="24"/>
        </w:rPr>
        <w:t xml:space="preserve">collectively “Assignees”).  </w:t>
      </w:r>
      <w:r w:rsidR="008A0C7C" w:rsidRPr="00762CFC">
        <w:rPr>
          <w:rFonts w:ascii="Times New Roman" w:eastAsia="Times New Roman" w:hAnsi="Times New Roman" w:cs="Times New Roman"/>
          <w:sz w:val="24"/>
          <w:szCs w:val="24"/>
        </w:rPr>
        <w:t xml:space="preserve">Plaintiff brought </w:t>
      </w:r>
      <w:r w:rsidR="00764837" w:rsidRPr="00762CFC">
        <w:rPr>
          <w:rFonts w:ascii="Times New Roman" w:eastAsia="Times New Roman" w:hAnsi="Times New Roman" w:cs="Times New Roman"/>
          <w:sz w:val="24"/>
          <w:szCs w:val="24"/>
        </w:rPr>
        <w:t xml:space="preserve">an in rem quiet title action as to the ownership of the property, alleging that Pine State’s assignments were invalid as a matter of law </w:t>
      </w:r>
      <w:r w:rsidR="00035284" w:rsidRPr="00762CFC">
        <w:rPr>
          <w:rFonts w:ascii="Times New Roman" w:eastAsia="Times New Roman" w:hAnsi="Times New Roman" w:cs="Times New Roman"/>
          <w:sz w:val="24"/>
          <w:szCs w:val="24"/>
        </w:rPr>
        <w:t>and constituted a “cloud recorded against Plaintiff’s title to the Property.”</w:t>
      </w:r>
      <w:r w:rsidR="005C4A47" w:rsidRPr="00762CFC">
        <w:rPr>
          <w:rStyle w:val="FootnoteReference"/>
          <w:rFonts w:ascii="Times New Roman" w:eastAsia="Times New Roman" w:hAnsi="Times New Roman" w:cs="Times New Roman"/>
          <w:sz w:val="24"/>
          <w:szCs w:val="24"/>
        </w:rPr>
        <w:footnoteReference w:id="53"/>
      </w:r>
      <w:r w:rsidR="00035284" w:rsidRPr="00762CFC">
        <w:rPr>
          <w:rFonts w:ascii="Times New Roman" w:eastAsia="Times New Roman" w:hAnsi="Times New Roman" w:cs="Times New Roman"/>
          <w:sz w:val="24"/>
          <w:szCs w:val="24"/>
        </w:rPr>
        <w:t xml:space="preserve">  </w:t>
      </w:r>
    </w:p>
    <w:p w:rsidR="00FB1543" w:rsidRPr="00762CFC" w:rsidRDefault="0084164B"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 xml:space="preserve">BoA filed a motion to dismiss on the grounds that Plaintiff lacked standing to contest the assignments of the Pine State security deed since Plaintiff was not a party to those assignments.  </w:t>
      </w:r>
      <w:r w:rsidR="00CA4C63" w:rsidRPr="00762CFC">
        <w:rPr>
          <w:rFonts w:ascii="Times New Roman" w:eastAsia="Times New Roman" w:hAnsi="Times New Roman" w:cs="Times New Roman"/>
          <w:sz w:val="24"/>
          <w:szCs w:val="24"/>
        </w:rPr>
        <w:t xml:space="preserve">The trial court granted </w:t>
      </w:r>
      <w:r w:rsidR="00FB1543" w:rsidRPr="00762CFC">
        <w:rPr>
          <w:rFonts w:ascii="Times New Roman" w:eastAsia="Times New Roman" w:hAnsi="Times New Roman" w:cs="Times New Roman"/>
          <w:sz w:val="24"/>
          <w:szCs w:val="24"/>
        </w:rPr>
        <w:t xml:space="preserve">BoA’s </w:t>
      </w:r>
      <w:r w:rsidR="00CA4C63" w:rsidRPr="00762CFC">
        <w:rPr>
          <w:rFonts w:ascii="Times New Roman" w:eastAsia="Times New Roman" w:hAnsi="Times New Roman" w:cs="Times New Roman"/>
          <w:sz w:val="24"/>
          <w:szCs w:val="24"/>
        </w:rPr>
        <w:t xml:space="preserve">motion </w:t>
      </w:r>
      <w:r w:rsidR="00FB1543" w:rsidRPr="00762CFC">
        <w:rPr>
          <w:rFonts w:ascii="Times New Roman" w:eastAsia="Times New Roman" w:hAnsi="Times New Roman" w:cs="Times New Roman"/>
          <w:sz w:val="24"/>
          <w:szCs w:val="24"/>
        </w:rPr>
        <w:t xml:space="preserve">and </w:t>
      </w:r>
      <w:r w:rsidR="00CA4C63" w:rsidRPr="00762CFC">
        <w:rPr>
          <w:rFonts w:ascii="Times New Roman" w:eastAsia="Times New Roman" w:hAnsi="Times New Roman" w:cs="Times New Roman"/>
          <w:sz w:val="24"/>
          <w:szCs w:val="24"/>
        </w:rPr>
        <w:t>dismiss</w:t>
      </w:r>
      <w:r w:rsidR="00FB1543" w:rsidRPr="00762CFC">
        <w:rPr>
          <w:rFonts w:ascii="Times New Roman" w:eastAsia="Times New Roman" w:hAnsi="Times New Roman" w:cs="Times New Roman"/>
          <w:sz w:val="24"/>
          <w:szCs w:val="24"/>
        </w:rPr>
        <w:t>ed</w:t>
      </w:r>
      <w:r w:rsidR="00CA4C63" w:rsidRPr="00762CFC">
        <w:rPr>
          <w:rFonts w:ascii="Times New Roman" w:eastAsia="Times New Roman" w:hAnsi="Times New Roman" w:cs="Times New Roman"/>
          <w:sz w:val="24"/>
          <w:szCs w:val="24"/>
        </w:rPr>
        <w:t xml:space="preserve"> </w:t>
      </w:r>
      <w:r w:rsidR="00FB1543" w:rsidRPr="00762CFC">
        <w:rPr>
          <w:rFonts w:ascii="Times New Roman" w:eastAsia="Times New Roman" w:hAnsi="Times New Roman" w:cs="Times New Roman"/>
          <w:sz w:val="24"/>
          <w:szCs w:val="24"/>
        </w:rPr>
        <w:t>the action.</w:t>
      </w:r>
      <w:r w:rsidR="006E76CF" w:rsidRPr="00762CFC">
        <w:rPr>
          <w:rStyle w:val="FootnoteReference"/>
          <w:rFonts w:ascii="Times New Roman" w:eastAsia="Times New Roman" w:hAnsi="Times New Roman" w:cs="Times New Roman"/>
          <w:sz w:val="24"/>
          <w:szCs w:val="24"/>
        </w:rPr>
        <w:footnoteReference w:id="54"/>
      </w:r>
      <w:r w:rsidR="003C0A7B" w:rsidRPr="00762CFC">
        <w:rPr>
          <w:rFonts w:ascii="Times New Roman" w:eastAsia="Times New Roman" w:hAnsi="Times New Roman" w:cs="Times New Roman"/>
          <w:sz w:val="24"/>
          <w:szCs w:val="24"/>
        </w:rPr>
        <w:t xml:space="preserve">  The Georgia Court of Appeals disagreed with the trial judge and reversed the entry of dismissal.</w:t>
      </w:r>
      <w:r w:rsidR="006E76CF" w:rsidRPr="00762CFC">
        <w:rPr>
          <w:rStyle w:val="FootnoteReference"/>
          <w:rFonts w:ascii="Times New Roman" w:eastAsia="Times New Roman" w:hAnsi="Times New Roman" w:cs="Times New Roman"/>
          <w:sz w:val="24"/>
          <w:szCs w:val="24"/>
        </w:rPr>
        <w:footnoteReference w:id="55"/>
      </w:r>
    </w:p>
    <w:p w:rsidR="005B270C" w:rsidRPr="00762CFC" w:rsidRDefault="00CA4C63"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 xml:space="preserve">The Court of </w:t>
      </w:r>
      <w:r w:rsidR="003C0A7B" w:rsidRPr="00762CFC">
        <w:rPr>
          <w:rFonts w:ascii="Times New Roman" w:eastAsia="Times New Roman" w:hAnsi="Times New Roman" w:cs="Times New Roman"/>
          <w:sz w:val="24"/>
          <w:szCs w:val="24"/>
        </w:rPr>
        <w:t>A</w:t>
      </w:r>
      <w:r w:rsidRPr="00762CFC">
        <w:rPr>
          <w:rFonts w:ascii="Times New Roman" w:eastAsia="Times New Roman" w:hAnsi="Times New Roman" w:cs="Times New Roman"/>
          <w:sz w:val="24"/>
          <w:szCs w:val="24"/>
        </w:rPr>
        <w:t xml:space="preserve">ppeals </w:t>
      </w:r>
      <w:r w:rsidR="003C0A7B" w:rsidRPr="00762CFC">
        <w:rPr>
          <w:rFonts w:ascii="Times New Roman" w:eastAsia="Times New Roman" w:hAnsi="Times New Roman" w:cs="Times New Roman"/>
          <w:sz w:val="24"/>
          <w:szCs w:val="24"/>
        </w:rPr>
        <w:t xml:space="preserve">noted </w:t>
      </w:r>
      <w:r w:rsidRPr="00762CFC">
        <w:rPr>
          <w:rFonts w:ascii="Times New Roman" w:eastAsia="Times New Roman" w:hAnsi="Times New Roman" w:cs="Times New Roman"/>
          <w:sz w:val="24"/>
          <w:szCs w:val="24"/>
        </w:rPr>
        <w:t>that a plaintiff in a quiet title action need not be a party to possible clouds upon title in order to bring a quiet title action in an attempt to remove those clouds</w:t>
      </w:r>
      <w:r w:rsidR="00F66A97" w:rsidRPr="00762CFC">
        <w:rPr>
          <w:rStyle w:val="FootnoteReference"/>
          <w:rFonts w:ascii="Times New Roman" w:eastAsia="Times New Roman" w:hAnsi="Times New Roman" w:cs="Times New Roman"/>
          <w:sz w:val="24"/>
          <w:szCs w:val="24"/>
        </w:rPr>
        <w:footnoteReference w:id="56"/>
      </w:r>
      <w:r w:rsidRPr="00762CFC">
        <w:rPr>
          <w:rFonts w:ascii="Times New Roman" w:eastAsia="Times New Roman" w:hAnsi="Times New Roman" w:cs="Times New Roman"/>
          <w:sz w:val="24"/>
          <w:szCs w:val="24"/>
        </w:rPr>
        <w:t xml:space="preserve">. </w:t>
      </w:r>
      <w:r w:rsidR="006E76CF" w:rsidRPr="00762CFC">
        <w:rPr>
          <w:rFonts w:ascii="Times New Roman" w:eastAsia="Times New Roman" w:hAnsi="Times New Roman" w:cs="Times New Roman"/>
          <w:sz w:val="24"/>
          <w:szCs w:val="24"/>
        </w:rPr>
        <w:t xml:space="preserve"> </w:t>
      </w:r>
      <w:r w:rsidR="002A7CC6" w:rsidRPr="00762CFC">
        <w:rPr>
          <w:rFonts w:ascii="Times New Roman" w:eastAsia="Times New Roman" w:hAnsi="Times New Roman" w:cs="Times New Roman"/>
          <w:sz w:val="24"/>
          <w:szCs w:val="24"/>
        </w:rPr>
        <w:t>The Act is to be liberally construed, and the remedy is to be cumulative, not exclusive.</w:t>
      </w:r>
      <w:r w:rsidR="00F66A97" w:rsidRPr="00762CFC">
        <w:rPr>
          <w:rStyle w:val="FootnoteReference"/>
          <w:rFonts w:ascii="Times New Roman" w:eastAsia="Times New Roman" w:hAnsi="Times New Roman" w:cs="Times New Roman"/>
          <w:sz w:val="24"/>
          <w:szCs w:val="24"/>
        </w:rPr>
        <w:footnoteReference w:id="57"/>
      </w:r>
      <w:r w:rsidR="002A7CC6" w:rsidRPr="00762CFC">
        <w:rPr>
          <w:rFonts w:ascii="Times New Roman" w:eastAsia="Times New Roman" w:hAnsi="Times New Roman" w:cs="Times New Roman"/>
          <w:sz w:val="24"/>
          <w:szCs w:val="24"/>
        </w:rPr>
        <w:t xml:space="preserve">  </w:t>
      </w:r>
      <w:r w:rsidR="00E7674E" w:rsidRPr="00762CFC">
        <w:rPr>
          <w:rFonts w:ascii="Times New Roman" w:eastAsia="Times New Roman" w:hAnsi="Times New Roman" w:cs="Times New Roman"/>
          <w:sz w:val="24"/>
          <w:szCs w:val="24"/>
        </w:rPr>
        <w:t>BoA argued on appeal that O.C.G.A. § 9-2-20(a) was controlling, which provides that an action on a contract be brought in the name of the party in whom the legal interest in the contract is vested.</w:t>
      </w:r>
      <w:r w:rsidR="007E7B91" w:rsidRPr="00762CFC">
        <w:rPr>
          <w:rStyle w:val="FootnoteReference"/>
          <w:rFonts w:ascii="Times New Roman" w:eastAsia="Times New Roman" w:hAnsi="Times New Roman" w:cs="Times New Roman"/>
          <w:sz w:val="24"/>
          <w:szCs w:val="24"/>
        </w:rPr>
        <w:footnoteReference w:id="58"/>
      </w:r>
      <w:r w:rsidR="00E7674E" w:rsidRPr="00762CFC">
        <w:rPr>
          <w:rFonts w:ascii="Times New Roman" w:eastAsia="Times New Roman" w:hAnsi="Times New Roman" w:cs="Times New Roman"/>
          <w:sz w:val="24"/>
          <w:szCs w:val="24"/>
        </w:rPr>
        <w:t xml:space="preserve">  However, the Court of Appeals </w:t>
      </w:r>
      <w:r w:rsidR="008669B5" w:rsidRPr="00762CFC">
        <w:rPr>
          <w:rFonts w:ascii="Times New Roman" w:eastAsia="Times New Roman" w:hAnsi="Times New Roman" w:cs="Times New Roman"/>
          <w:sz w:val="24"/>
          <w:szCs w:val="24"/>
        </w:rPr>
        <w:t xml:space="preserve">found </w:t>
      </w:r>
      <w:r w:rsidR="001C5C99" w:rsidRPr="00762CFC">
        <w:rPr>
          <w:rFonts w:ascii="Times New Roman" w:eastAsia="Times New Roman" w:hAnsi="Times New Roman" w:cs="Times New Roman"/>
          <w:sz w:val="24"/>
          <w:szCs w:val="24"/>
        </w:rPr>
        <w:t>that Plaintiff was not attempting to enforce any rights under the assignments and, therefore, had not brought an action on the contracts.</w:t>
      </w:r>
      <w:r w:rsidR="007E7B91" w:rsidRPr="00762CFC">
        <w:rPr>
          <w:rStyle w:val="FootnoteReference"/>
          <w:rFonts w:ascii="Times New Roman" w:eastAsia="Times New Roman" w:hAnsi="Times New Roman" w:cs="Times New Roman"/>
          <w:sz w:val="24"/>
          <w:szCs w:val="24"/>
        </w:rPr>
        <w:footnoteReference w:id="59"/>
      </w:r>
      <w:r w:rsidR="001C5C99" w:rsidRPr="00762CFC">
        <w:rPr>
          <w:rFonts w:ascii="Times New Roman" w:eastAsia="Times New Roman" w:hAnsi="Times New Roman" w:cs="Times New Roman"/>
          <w:sz w:val="24"/>
          <w:szCs w:val="24"/>
        </w:rPr>
        <w:t xml:space="preserve">  </w:t>
      </w:r>
      <w:r w:rsidRPr="00762CFC">
        <w:rPr>
          <w:rFonts w:ascii="Times New Roman" w:eastAsia="Times New Roman" w:hAnsi="Times New Roman" w:cs="Times New Roman"/>
          <w:sz w:val="24"/>
          <w:szCs w:val="24"/>
        </w:rPr>
        <w:t>Thus, the fact that the property owner was not a party to the assignments that he challenged d</w:t>
      </w:r>
      <w:r w:rsidR="001C5C99" w:rsidRPr="00762CFC">
        <w:rPr>
          <w:rFonts w:ascii="Times New Roman" w:eastAsia="Times New Roman" w:hAnsi="Times New Roman" w:cs="Times New Roman"/>
          <w:sz w:val="24"/>
          <w:szCs w:val="24"/>
        </w:rPr>
        <w:t xml:space="preserve">id </w:t>
      </w:r>
      <w:r w:rsidRPr="00762CFC">
        <w:rPr>
          <w:rFonts w:ascii="Times New Roman" w:eastAsia="Times New Roman" w:hAnsi="Times New Roman" w:cs="Times New Roman"/>
          <w:sz w:val="24"/>
          <w:szCs w:val="24"/>
        </w:rPr>
        <w:t xml:space="preserve">not destroy his standing to assert that those assignments are clouds upon his title.  </w:t>
      </w:r>
    </w:p>
    <w:p w:rsidR="005B270C" w:rsidRPr="00762CFC" w:rsidRDefault="005B270C" w:rsidP="002B3299">
      <w:pPr>
        <w:spacing w:after="0" w:line="360" w:lineRule="auto"/>
        <w:ind w:firstLine="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lastRenderedPageBreak/>
        <w:t>This case is also noteworthy for two other reasons:</w:t>
      </w:r>
    </w:p>
    <w:p w:rsidR="005B270C" w:rsidRPr="00762CFC" w:rsidRDefault="005B270C" w:rsidP="002B3299">
      <w:pPr>
        <w:pStyle w:val="ListParagraph"/>
        <w:numPr>
          <w:ilvl w:val="0"/>
          <w:numId w:val="7"/>
        </w:numPr>
        <w:spacing w:after="0" w:line="360" w:lineRule="auto"/>
        <w:ind w:hanging="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 xml:space="preserve">It provides a </w:t>
      </w:r>
      <w:r w:rsidR="00D47DAC" w:rsidRPr="00762CFC">
        <w:rPr>
          <w:rFonts w:ascii="Times New Roman" w:eastAsia="Times New Roman" w:hAnsi="Times New Roman" w:cs="Times New Roman"/>
          <w:sz w:val="24"/>
          <w:szCs w:val="24"/>
        </w:rPr>
        <w:t xml:space="preserve">succinct </w:t>
      </w:r>
      <w:r w:rsidRPr="00762CFC">
        <w:rPr>
          <w:rFonts w:ascii="Times New Roman" w:eastAsia="Times New Roman" w:hAnsi="Times New Roman" w:cs="Times New Roman"/>
          <w:sz w:val="24"/>
          <w:szCs w:val="24"/>
        </w:rPr>
        <w:t>summary of the requireme</w:t>
      </w:r>
      <w:r w:rsidR="006B6FB2" w:rsidRPr="00762CFC">
        <w:rPr>
          <w:rFonts w:ascii="Times New Roman" w:eastAsia="Times New Roman" w:hAnsi="Times New Roman" w:cs="Times New Roman"/>
          <w:sz w:val="24"/>
          <w:szCs w:val="24"/>
        </w:rPr>
        <w:t>nts for a quiet title petition</w:t>
      </w:r>
      <w:r w:rsidR="00EF0BEA" w:rsidRPr="00762CFC">
        <w:rPr>
          <w:rFonts w:ascii="Times New Roman" w:eastAsia="Times New Roman" w:hAnsi="Times New Roman" w:cs="Times New Roman"/>
          <w:sz w:val="24"/>
          <w:szCs w:val="24"/>
        </w:rPr>
        <w:t xml:space="preserve"> under O.C.G.A. § 23-3-62(b)</w:t>
      </w:r>
      <w:r w:rsidR="006B6FB2" w:rsidRPr="00762CFC">
        <w:rPr>
          <w:rFonts w:ascii="Times New Roman" w:eastAsia="Times New Roman" w:hAnsi="Times New Roman" w:cs="Times New Roman"/>
          <w:sz w:val="24"/>
          <w:szCs w:val="24"/>
        </w:rPr>
        <w:t>:</w:t>
      </w:r>
      <w:r w:rsidR="007E7B91" w:rsidRPr="00762CFC">
        <w:rPr>
          <w:rStyle w:val="FootnoteReference"/>
          <w:rFonts w:ascii="Times New Roman" w:eastAsia="Times New Roman" w:hAnsi="Times New Roman" w:cs="Times New Roman"/>
          <w:sz w:val="24"/>
          <w:szCs w:val="24"/>
        </w:rPr>
        <w:footnoteReference w:id="60"/>
      </w:r>
    </w:p>
    <w:p w:rsidR="006B6FB2" w:rsidRPr="00762CFC" w:rsidRDefault="006B6FB2" w:rsidP="002B3299">
      <w:pPr>
        <w:pStyle w:val="ListParagraph"/>
        <w:spacing w:after="0" w:line="360" w:lineRule="auto"/>
        <w:ind w:left="144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i.</w:t>
      </w:r>
      <w:r w:rsidRPr="00762CFC">
        <w:rPr>
          <w:rFonts w:ascii="Times New Roman" w:eastAsia="Times New Roman" w:hAnsi="Times New Roman" w:cs="Times New Roman"/>
          <w:sz w:val="24"/>
          <w:szCs w:val="24"/>
        </w:rPr>
        <w:tab/>
        <w:t>Particular description of the land</w:t>
      </w:r>
    </w:p>
    <w:p w:rsidR="006B6FB2" w:rsidRPr="00762CFC" w:rsidRDefault="006B6FB2" w:rsidP="002B3299">
      <w:pPr>
        <w:pStyle w:val="ListParagraph"/>
        <w:spacing w:after="0" w:line="360" w:lineRule="auto"/>
        <w:ind w:left="144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ii.</w:t>
      </w:r>
      <w:r w:rsidRPr="00762CFC">
        <w:rPr>
          <w:rFonts w:ascii="Times New Roman" w:eastAsia="Times New Roman" w:hAnsi="Times New Roman" w:cs="Times New Roman"/>
          <w:sz w:val="24"/>
          <w:szCs w:val="24"/>
        </w:rPr>
        <w:tab/>
        <w:t>Specification of the petitioner’s interest in the land</w:t>
      </w:r>
    </w:p>
    <w:p w:rsidR="006B6FB2" w:rsidRPr="00762CFC" w:rsidRDefault="006B6FB2" w:rsidP="002B3299">
      <w:pPr>
        <w:pStyle w:val="ListParagraph"/>
        <w:spacing w:after="0" w:line="360" w:lineRule="auto"/>
        <w:ind w:left="2160" w:hanging="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iii.</w:t>
      </w:r>
      <w:r w:rsidRPr="00762CFC">
        <w:rPr>
          <w:rFonts w:ascii="Times New Roman" w:eastAsia="Times New Roman" w:hAnsi="Times New Roman" w:cs="Times New Roman"/>
          <w:sz w:val="24"/>
          <w:szCs w:val="24"/>
        </w:rPr>
        <w:tab/>
        <w:t xml:space="preserve">Whether petitioner’s interest is based upon written instrument, adverse possession, or both; </w:t>
      </w:r>
      <w:r w:rsidR="008A6A11" w:rsidRPr="00762CFC">
        <w:rPr>
          <w:rFonts w:ascii="Times New Roman" w:eastAsia="Times New Roman" w:hAnsi="Times New Roman" w:cs="Times New Roman"/>
          <w:sz w:val="24"/>
          <w:szCs w:val="24"/>
        </w:rPr>
        <w:t>and</w:t>
      </w:r>
    </w:p>
    <w:p w:rsidR="008A6A11" w:rsidRPr="00762CFC" w:rsidRDefault="008A6A11" w:rsidP="002B3299">
      <w:pPr>
        <w:spacing w:after="0" w:line="360" w:lineRule="auto"/>
        <w:ind w:left="2160" w:hanging="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iv.</w:t>
      </w:r>
      <w:r w:rsidRPr="00762CFC">
        <w:rPr>
          <w:rFonts w:ascii="Times New Roman" w:eastAsia="Times New Roman" w:hAnsi="Times New Roman" w:cs="Times New Roman"/>
          <w:sz w:val="24"/>
          <w:szCs w:val="24"/>
        </w:rPr>
        <w:tab/>
        <w:t xml:space="preserve">Said allegations should be accompanied by a plat of survey and copies of any written instruments on which </w:t>
      </w:r>
      <w:r w:rsidR="00AB4DD3" w:rsidRPr="00762CFC">
        <w:rPr>
          <w:rFonts w:ascii="Times New Roman" w:eastAsia="Times New Roman" w:hAnsi="Times New Roman" w:cs="Times New Roman"/>
          <w:sz w:val="24"/>
          <w:szCs w:val="24"/>
        </w:rPr>
        <w:t>petitioner’s interest or that of an adverse claimant is/are based.</w:t>
      </w:r>
    </w:p>
    <w:p w:rsidR="00AB4DD3" w:rsidRPr="00762CFC" w:rsidRDefault="00387917" w:rsidP="002B3299">
      <w:pPr>
        <w:pStyle w:val="ListParagraph"/>
        <w:numPr>
          <w:ilvl w:val="0"/>
          <w:numId w:val="7"/>
        </w:numPr>
        <w:spacing w:after="0" w:line="360" w:lineRule="auto"/>
        <w:ind w:hanging="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It re-emphasizes the relative relationship between a request for a Special Master and a jury trial demand:</w:t>
      </w:r>
      <w:r w:rsidR="00B472F9" w:rsidRPr="00762CFC">
        <w:rPr>
          <w:rStyle w:val="FootnoteReference"/>
          <w:rFonts w:ascii="Times New Roman" w:eastAsia="Times New Roman" w:hAnsi="Times New Roman" w:cs="Times New Roman"/>
          <w:sz w:val="24"/>
          <w:szCs w:val="24"/>
        </w:rPr>
        <w:footnoteReference w:id="61"/>
      </w:r>
    </w:p>
    <w:p w:rsidR="00387917" w:rsidRPr="00762CFC" w:rsidRDefault="002F68D7" w:rsidP="002B3299">
      <w:pPr>
        <w:pStyle w:val="ListParagraph"/>
        <w:numPr>
          <w:ilvl w:val="0"/>
          <w:numId w:val="8"/>
        </w:numPr>
        <w:spacing w:after="0" w:line="360" w:lineRule="auto"/>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 xml:space="preserve">If a jury trial demand is filed before a special master holds a hearing, the trial court has jurisdiction to proceed to trial and, correspondingly, to </w:t>
      </w:r>
      <w:r w:rsidR="00093CD1" w:rsidRPr="00762CFC">
        <w:rPr>
          <w:rFonts w:ascii="Times New Roman" w:eastAsia="Times New Roman" w:hAnsi="Times New Roman" w:cs="Times New Roman"/>
          <w:sz w:val="24"/>
          <w:szCs w:val="24"/>
        </w:rPr>
        <w:t xml:space="preserve">make findings of fact and </w:t>
      </w:r>
      <w:r w:rsidRPr="00762CFC">
        <w:rPr>
          <w:rFonts w:ascii="Times New Roman" w:eastAsia="Times New Roman" w:hAnsi="Times New Roman" w:cs="Times New Roman"/>
          <w:sz w:val="24"/>
          <w:szCs w:val="24"/>
        </w:rPr>
        <w:t>grant summary judgment.</w:t>
      </w:r>
      <w:r w:rsidR="00270D6C">
        <w:rPr>
          <w:rStyle w:val="FootnoteReference"/>
          <w:rFonts w:ascii="Times New Roman" w:eastAsia="Times New Roman" w:hAnsi="Times New Roman" w:cs="Times New Roman"/>
          <w:sz w:val="24"/>
          <w:szCs w:val="24"/>
        </w:rPr>
        <w:footnoteReference w:id="62"/>
      </w:r>
    </w:p>
    <w:p w:rsidR="002F68D7" w:rsidRPr="00762CFC" w:rsidRDefault="002F68D7" w:rsidP="002B3299">
      <w:pPr>
        <w:pStyle w:val="ListParagraph"/>
        <w:spacing w:after="0" w:line="360" w:lineRule="auto"/>
        <w:ind w:left="2160" w:hanging="720"/>
        <w:jc w:val="both"/>
        <w:rPr>
          <w:rFonts w:ascii="Times New Roman" w:eastAsia="Times New Roman" w:hAnsi="Times New Roman" w:cs="Times New Roman"/>
          <w:sz w:val="24"/>
          <w:szCs w:val="24"/>
        </w:rPr>
      </w:pPr>
      <w:r w:rsidRPr="00762CFC">
        <w:rPr>
          <w:rFonts w:ascii="Times New Roman" w:eastAsia="Times New Roman" w:hAnsi="Times New Roman" w:cs="Times New Roman"/>
          <w:sz w:val="24"/>
          <w:szCs w:val="24"/>
        </w:rPr>
        <w:t>ii.</w:t>
      </w:r>
      <w:r w:rsidRPr="00762CFC">
        <w:rPr>
          <w:rFonts w:ascii="Times New Roman" w:eastAsia="Times New Roman" w:hAnsi="Times New Roman" w:cs="Times New Roman"/>
          <w:sz w:val="24"/>
          <w:szCs w:val="24"/>
        </w:rPr>
        <w:tab/>
      </w:r>
      <w:r w:rsidR="00093CD1" w:rsidRPr="00762CFC">
        <w:rPr>
          <w:rFonts w:ascii="Times New Roman" w:eastAsia="Times New Roman" w:hAnsi="Times New Roman" w:cs="Times New Roman"/>
          <w:sz w:val="24"/>
          <w:szCs w:val="24"/>
        </w:rPr>
        <w:t xml:space="preserve">Conversely, if no jury trial is demanded before the time a special master hears the case, </w:t>
      </w:r>
      <w:r w:rsidR="00D47DAC" w:rsidRPr="00762CFC">
        <w:rPr>
          <w:rFonts w:ascii="Times New Roman" w:eastAsia="Times New Roman" w:hAnsi="Times New Roman" w:cs="Times New Roman"/>
          <w:sz w:val="24"/>
          <w:szCs w:val="24"/>
        </w:rPr>
        <w:t xml:space="preserve">the special master </w:t>
      </w:r>
      <w:r w:rsidR="00093CD1" w:rsidRPr="00762CFC">
        <w:rPr>
          <w:rFonts w:ascii="Times New Roman" w:eastAsia="Times New Roman" w:hAnsi="Times New Roman" w:cs="Times New Roman"/>
          <w:sz w:val="24"/>
          <w:szCs w:val="24"/>
        </w:rPr>
        <w:t>i</w:t>
      </w:r>
      <w:r w:rsidR="00D47DAC" w:rsidRPr="00762CFC">
        <w:rPr>
          <w:rFonts w:ascii="Times New Roman" w:eastAsia="Times New Roman" w:hAnsi="Times New Roman" w:cs="Times New Roman"/>
          <w:sz w:val="24"/>
          <w:szCs w:val="24"/>
        </w:rPr>
        <w:t>s</w:t>
      </w:r>
      <w:r w:rsidR="00093CD1" w:rsidRPr="00762CFC">
        <w:rPr>
          <w:rFonts w:ascii="Times New Roman" w:eastAsia="Times New Roman" w:hAnsi="Times New Roman" w:cs="Times New Roman"/>
          <w:sz w:val="24"/>
          <w:szCs w:val="24"/>
        </w:rPr>
        <w:t xml:space="preserve"> the arbiter of law and fact and decides all issues in the case.</w:t>
      </w:r>
    </w:p>
    <w:p w:rsidR="00CA4C63" w:rsidRPr="00762CFC" w:rsidRDefault="00CA4C63" w:rsidP="002B3299">
      <w:pPr>
        <w:spacing w:after="0" w:line="360" w:lineRule="auto"/>
        <w:jc w:val="both"/>
        <w:rPr>
          <w:rFonts w:ascii="Times New Roman" w:eastAsia="Times New Roman" w:hAnsi="Times New Roman" w:cs="Times New Roman"/>
          <w:sz w:val="24"/>
          <w:szCs w:val="24"/>
        </w:rPr>
      </w:pPr>
      <w:r w:rsidRPr="00762CFC">
        <w:rPr>
          <w:rFonts w:ascii="Times New Roman" w:eastAsia="Times New Roman" w:hAnsi="Times New Roman" w:cs="Times New Roman"/>
          <w:b/>
          <w:sz w:val="24"/>
          <w:szCs w:val="24"/>
        </w:rPr>
        <w:t>N</w:t>
      </w:r>
      <w:r w:rsidR="00290650" w:rsidRPr="00762CFC">
        <w:rPr>
          <w:rFonts w:ascii="Times New Roman" w:eastAsia="Times New Roman" w:hAnsi="Times New Roman" w:cs="Times New Roman"/>
          <w:b/>
          <w:sz w:val="24"/>
          <w:szCs w:val="24"/>
        </w:rPr>
        <w:t>.B.</w:t>
      </w:r>
      <w:r w:rsidR="00290650" w:rsidRPr="00762CFC">
        <w:rPr>
          <w:rFonts w:ascii="Times New Roman" w:eastAsia="Times New Roman" w:hAnsi="Times New Roman" w:cs="Times New Roman"/>
          <w:sz w:val="24"/>
          <w:szCs w:val="24"/>
        </w:rPr>
        <w:t xml:space="preserve">  T</w:t>
      </w:r>
      <w:r w:rsidRPr="00762CFC">
        <w:rPr>
          <w:rFonts w:ascii="Times New Roman" w:eastAsia="Times New Roman" w:hAnsi="Times New Roman" w:cs="Times New Roman"/>
          <w:sz w:val="24"/>
          <w:szCs w:val="24"/>
        </w:rPr>
        <w:t xml:space="preserve">he Georgia Supreme Court </w:t>
      </w:r>
      <w:r w:rsidR="00B472F9" w:rsidRPr="00762CFC">
        <w:rPr>
          <w:rFonts w:ascii="Times New Roman" w:eastAsia="Times New Roman" w:hAnsi="Times New Roman" w:cs="Times New Roman"/>
          <w:sz w:val="24"/>
          <w:szCs w:val="24"/>
        </w:rPr>
        <w:t>granted certiorari</w:t>
      </w:r>
      <w:r w:rsidR="00722AF2" w:rsidRPr="00762CFC">
        <w:rPr>
          <w:rFonts w:ascii="Times New Roman" w:eastAsia="Times New Roman" w:hAnsi="Times New Roman" w:cs="Times New Roman"/>
          <w:sz w:val="24"/>
          <w:szCs w:val="24"/>
        </w:rPr>
        <w:t xml:space="preserve"> </w:t>
      </w:r>
      <w:r w:rsidR="00201667" w:rsidRPr="00762CFC">
        <w:rPr>
          <w:rFonts w:ascii="Times New Roman" w:eastAsia="Times New Roman" w:hAnsi="Times New Roman" w:cs="Times New Roman"/>
          <w:sz w:val="24"/>
          <w:szCs w:val="24"/>
        </w:rPr>
        <w:t xml:space="preserve">on BoA’s petition </w:t>
      </w:r>
      <w:r w:rsidR="00722AF2" w:rsidRPr="00762CFC">
        <w:rPr>
          <w:rFonts w:ascii="Times New Roman" w:eastAsia="Times New Roman" w:hAnsi="Times New Roman" w:cs="Times New Roman"/>
          <w:sz w:val="24"/>
          <w:szCs w:val="24"/>
        </w:rPr>
        <w:t>and heard oral argument</w:t>
      </w:r>
      <w:r w:rsidR="00201667" w:rsidRPr="00762CFC">
        <w:rPr>
          <w:rFonts w:ascii="Times New Roman" w:eastAsia="Times New Roman" w:hAnsi="Times New Roman" w:cs="Times New Roman"/>
          <w:sz w:val="24"/>
          <w:szCs w:val="24"/>
        </w:rPr>
        <w:t xml:space="preserve"> in the matter </w:t>
      </w:r>
      <w:r w:rsidR="00722AF2" w:rsidRPr="00762CFC">
        <w:rPr>
          <w:rFonts w:ascii="Times New Roman" w:eastAsia="Times New Roman" w:hAnsi="Times New Roman" w:cs="Times New Roman"/>
          <w:sz w:val="24"/>
          <w:szCs w:val="24"/>
        </w:rPr>
        <w:t>on July 11, 2016</w:t>
      </w:r>
      <w:r w:rsidR="00B472F9" w:rsidRPr="00762CFC">
        <w:rPr>
          <w:rFonts w:ascii="Times New Roman" w:eastAsia="Times New Roman" w:hAnsi="Times New Roman" w:cs="Times New Roman"/>
          <w:sz w:val="24"/>
          <w:szCs w:val="24"/>
        </w:rPr>
        <w:t>.</w:t>
      </w:r>
      <w:r w:rsidR="00722AF2" w:rsidRPr="00762CFC">
        <w:rPr>
          <w:rFonts w:ascii="Times New Roman" w:eastAsia="Times New Roman" w:hAnsi="Times New Roman" w:cs="Times New Roman"/>
          <w:sz w:val="24"/>
          <w:szCs w:val="24"/>
        </w:rPr>
        <w:t xml:space="preserve">  </w:t>
      </w:r>
      <w:r w:rsidR="00201667" w:rsidRPr="00762CFC">
        <w:rPr>
          <w:rFonts w:ascii="Times New Roman" w:eastAsia="Times New Roman" w:hAnsi="Times New Roman" w:cs="Times New Roman"/>
          <w:sz w:val="24"/>
          <w:szCs w:val="24"/>
        </w:rPr>
        <w:t xml:space="preserve">As of the date of this paper, </w:t>
      </w:r>
      <w:r w:rsidR="00503854" w:rsidRPr="00762CFC">
        <w:rPr>
          <w:rFonts w:ascii="Times New Roman" w:eastAsia="Times New Roman" w:hAnsi="Times New Roman" w:cs="Times New Roman"/>
          <w:sz w:val="24"/>
          <w:szCs w:val="24"/>
        </w:rPr>
        <w:t>the Court has not yet issued its o</w:t>
      </w:r>
      <w:r w:rsidR="00722AF2" w:rsidRPr="00762CFC">
        <w:rPr>
          <w:rFonts w:ascii="Times New Roman" w:eastAsia="Times New Roman" w:hAnsi="Times New Roman" w:cs="Times New Roman"/>
          <w:sz w:val="24"/>
          <w:szCs w:val="24"/>
        </w:rPr>
        <w:t>pinion</w:t>
      </w:r>
      <w:r w:rsidR="00290650" w:rsidRPr="00762CFC">
        <w:rPr>
          <w:rFonts w:ascii="Times New Roman" w:eastAsia="Times New Roman" w:hAnsi="Times New Roman" w:cs="Times New Roman"/>
          <w:sz w:val="24"/>
          <w:szCs w:val="24"/>
        </w:rPr>
        <w:t>.</w:t>
      </w:r>
      <w:r w:rsidR="00B472F9" w:rsidRPr="00762CFC">
        <w:rPr>
          <w:rFonts w:ascii="Times New Roman" w:eastAsia="Times New Roman" w:hAnsi="Times New Roman" w:cs="Times New Roman"/>
          <w:sz w:val="24"/>
          <w:szCs w:val="24"/>
        </w:rPr>
        <w:t xml:space="preserve"> </w:t>
      </w:r>
    </w:p>
    <w:p w:rsidR="00D4774B" w:rsidRPr="00762CFC" w:rsidRDefault="00EA574D" w:rsidP="002B3299">
      <w:pPr>
        <w:shd w:val="clear" w:color="auto" w:fill="FFFFFF"/>
        <w:spacing w:after="0" w:line="360" w:lineRule="auto"/>
        <w:jc w:val="both"/>
        <w:rPr>
          <w:rFonts w:ascii="Times New Roman" w:hAnsi="Times New Roman" w:cs="Times New Roman"/>
          <w:b/>
          <w:sz w:val="24"/>
          <w:szCs w:val="24"/>
        </w:rPr>
      </w:pPr>
      <w:r w:rsidRPr="00762CFC">
        <w:rPr>
          <w:rFonts w:ascii="Times New Roman" w:hAnsi="Times New Roman" w:cs="Times New Roman"/>
          <w:b/>
          <w:sz w:val="24"/>
          <w:szCs w:val="24"/>
        </w:rPr>
        <w:t>IV.</w:t>
      </w:r>
      <w:r w:rsidRPr="00762CFC">
        <w:rPr>
          <w:rFonts w:ascii="Times New Roman" w:hAnsi="Times New Roman" w:cs="Times New Roman"/>
          <w:b/>
          <w:sz w:val="24"/>
          <w:szCs w:val="24"/>
        </w:rPr>
        <w:tab/>
      </w:r>
      <w:r w:rsidR="00FA047F" w:rsidRPr="00762CFC">
        <w:rPr>
          <w:rFonts w:ascii="Times New Roman" w:hAnsi="Times New Roman" w:cs="Times New Roman"/>
          <w:b/>
          <w:sz w:val="24"/>
          <w:szCs w:val="24"/>
        </w:rPr>
        <w:t>M</w:t>
      </w:r>
      <w:r w:rsidR="00BD165D" w:rsidRPr="00762CFC">
        <w:rPr>
          <w:rFonts w:ascii="Times New Roman" w:hAnsi="Times New Roman" w:cs="Times New Roman"/>
          <w:b/>
          <w:sz w:val="24"/>
          <w:szCs w:val="24"/>
        </w:rPr>
        <w:t>ARKETABLE TITLE ISSUES</w:t>
      </w:r>
    </w:p>
    <w:p w:rsidR="00354C9D" w:rsidRPr="00762CFC" w:rsidRDefault="00354C9D" w:rsidP="002B3299">
      <w:pPr>
        <w:pStyle w:val="ListParagraph"/>
        <w:numPr>
          <w:ilvl w:val="0"/>
          <w:numId w:val="11"/>
        </w:numPr>
        <w:shd w:val="clear" w:color="auto" w:fill="FFFFFF"/>
        <w:spacing w:after="0" w:line="360" w:lineRule="auto"/>
        <w:ind w:left="1440" w:hanging="720"/>
        <w:jc w:val="both"/>
        <w:rPr>
          <w:rFonts w:ascii="Times New Roman" w:hAnsi="Times New Roman" w:cs="Times New Roman"/>
          <w:b/>
          <w:sz w:val="24"/>
          <w:szCs w:val="24"/>
        </w:rPr>
      </w:pPr>
      <w:r w:rsidRPr="00762CFC">
        <w:rPr>
          <w:rFonts w:ascii="Times New Roman" w:hAnsi="Times New Roman" w:cs="Times New Roman"/>
          <w:b/>
          <w:sz w:val="24"/>
          <w:szCs w:val="24"/>
        </w:rPr>
        <w:t>What is “Marketable Title”?</w:t>
      </w:r>
    </w:p>
    <w:p w:rsidR="00F35223" w:rsidRPr="00762CFC" w:rsidRDefault="005C33E6" w:rsidP="002B3299">
      <w:pPr>
        <w:shd w:val="clear" w:color="auto" w:fill="FFFFFF"/>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 xml:space="preserve">In Georgia, the title to real property is the means or the evidence by which an owner establishes rights in land.  The possession of legal title to land is entitlement to rights of ownership of that land, the minerals below the land, the air space above the land, and to some extent, the waters contained on or flowing through the land. </w:t>
      </w:r>
      <w:r w:rsidR="00EE7E3C" w:rsidRPr="00762CFC">
        <w:rPr>
          <w:rFonts w:ascii="Times New Roman" w:hAnsi="Times New Roman" w:cs="Times New Roman"/>
          <w:color w:val="212121"/>
          <w:sz w:val="24"/>
          <w:szCs w:val="24"/>
        </w:rPr>
        <w:t>“A good</w:t>
      </w:r>
      <w:r w:rsidR="00EE7E3C" w:rsidRPr="00762CFC">
        <w:rPr>
          <w:rStyle w:val="apple-converted-space"/>
          <w:rFonts w:ascii="Times New Roman" w:hAnsi="Times New Roman" w:cs="Times New Roman"/>
          <w:color w:val="212121"/>
          <w:sz w:val="24"/>
          <w:szCs w:val="24"/>
        </w:rPr>
        <w:t> </w:t>
      </w:r>
      <w:r w:rsidR="00EE7E3C" w:rsidRPr="00762CFC">
        <w:rPr>
          <w:rStyle w:val="cosearchterm"/>
          <w:rFonts w:ascii="Times New Roman" w:hAnsi="Times New Roman" w:cs="Times New Roman"/>
          <w:bCs/>
          <w:color w:val="252525"/>
          <w:sz w:val="24"/>
          <w:szCs w:val="24"/>
        </w:rPr>
        <w:t>title</w:t>
      </w:r>
      <w:r w:rsidR="00EE7E3C" w:rsidRPr="00762CFC">
        <w:rPr>
          <w:rStyle w:val="apple-converted-space"/>
          <w:rFonts w:ascii="Times New Roman" w:hAnsi="Times New Roman" w:cs="Times New Roman"/>
          <w:color w:val="212121"/>
          <w:sz w:val="24"/>
          <w:szCs w:val="24"/>
        </w:rPr>
        <w:t> </w:t>
      </w:r>
      <w:r w:rsidR="00EE7E3C" w:rsidRPr="00762CFC">
        <w:rPr>
          <w:rFonts w:ascii="Times New Roman" w:hAnsi="Times New Roman" w:cs="Times New Roman"/>
          <w:color w:val="212121"/>
          <w:sz w:val="24"/>
          <w:szCs w:val="24"/>
        </w:rPr>
        <w:t>means not merely a</w:t>
      </w:r>
      <w:r w:rsidR="00EE7E3C" w:rsidRPr="00762CFC">
        <w:rPr>
          <w:rStyle w:val="apple-converted-space"/>
          <w:rFonts w:ascii="Times New Roman" w:hAnsi="Times New Roman" w:cs="Times New Roman"/>
          <w:color w:val="212121"/>
          <w:sz w:val="24"/>
          <w:szCs w:val="24"/>
        </w:rPr>
        <w:t> </w:t>
      </w:r>
      <w:r w:rsidR="00EE7E3C" w:rsidRPr="00762CFC">
        <w:rPr>
          <w:rStyle w:val="cosearchterm"/>
          <w:rFonts w:ascii="Times New Roman" w:hAnsi="Times New Roman" w:cs="Times New Roman"/>
          <w:bCs/>
          <w:color w:val="252525"/>
          <w:sz w:val="24"/>
          <w:szCs w:val="24"/>
        </w:rPr>
        <w:t>title</w:t>
      </w:r>
      <w:r w:rsidR="00EE7E3C" w:rsidRPr="00762CFC">
        <w:rPr>
          <w:rStyle w:val="apple-converted-space"/>
          <w:rFonts w:ascii="Times New Roman" w:hAnsi="Times New Roman" w:cs="Times New Roman"/>
          <w:color w:val="212121"/>
          <w:sz w:val="24"/>
          <w:szCs w:val="24"/>
        </w:rPr>
        <w:t> </w:t>
      </w:r>
      <w:r w:rsidR="00EE7E3C" w:rsidRPr="00762CFC">
        <w:rPr>
          <w:rFonts w:ascii="Times New Roman" w:hAnsi="Times New Roman" w:cs="Times New Roman"/>
          <w:color w:val="212121"/>
          <w:sz w:val="24"/>
          <w:szCs w:val="24"/>
        </w:rPr>
        <w:t>valid in fact, but a marketable</w:t>
      </w:r>
      <w:r w:rsidR="00EE7E3C" w:rsidRPr="00762CFC">
        <w:rPr>
          <w:rStyle w:val="apple-converted-space"/>
          <w:rFonts w:ascii="Times New Roman" w:hAnsi="Times New Roman" w:cs="Times New Roman"/>
          <w:color w:val="212121"/>
          <w:sz w:val="24"/>
          <w:szCs w:val="24"/>
        </w:rPr>
        <w:t> </w:t>
      </w:r>
      <w:r w:rsidR="00EE7E3C" w:rsidRPr="00762CFC">
        <w:rPr>
          <w:rStyle w:val="cosearchterm"/>
          <w:rFonts w:ascii="Times New Roman" w:hAnsi="Times New Roman" w:cs="Times New Roman"/>
          <w:bCs/>
          <w:color w:val="252525"/>
          <w:sz w:val="24"/>
          <w:szCs w:val="24"/>
        </w:rPr>
        <w:t>title</w:t>
      </w:r>
      <w:r w:rsidR="00EE7E3C" w:rsidRPr="00762CFC">
        <w:rPr>
          <w:rStyle w:val="apple-converted-space"/>
          <w:rFonts w:ascii="Times New Roman" w:hAnsi="Times New Roman" w:cs="Times New Roman"/>
          <w:color w:val="212121"/>
          <w:sz w:val="24"/>
          <w:szCs w:val="24"/>
        </w:rPr>
        <w:t> </w:t>
      </w:r>
      <w:r w:rsidR="00EE7E3C" w:rsidRPr="00762CFC">
        <w:rPr>
          <w:rFonts w:ascii="Times New Roman" w:hAnsi="Times New Roman" w:cs="Times New Roman"/>
          <w:color w:val="212121"/>
          <w:sz w:val="24"/>
          <w:szCs w:val="24"/>
        </w:rPr>
        <w:t xml:space="preserve">which can again be sold to a reasonable purchaser or </w:t>
      </w:r>
      <w:r w:rsidR="00EE7E3C" w:rsidRPr="00762CFC">
        <w:rPr>
          <w:rFonts w:ascii="Times New Roman" w:hAnsi="Times New Roman" w:cs="Times New Roman"/>
          <w:color w:val="212121"/>
          <w:sz w:val="24"/>
          <w:szCs w:val="24"/>
        </w:rPr>
        <w:lastRenderedPageBreak/>
        <w:t>mortgaged to a person of reasonable prudence as a security for the loan of money.”</w:t>
      </w:r>
      <w:r w:rsidR="00EE7E3C" w:rsidRPr="00762CFC">
        <w:rPr>
          <w:rStyle w:val="FootnoteReference"/>
          <w:rFonts w:ascii="Times New Roman" w:hAnsi="Times New Roman" w:cs="Times New Roman"/>
          <w:color w:val="212121"/>
          <w:sz w:val="24"/>
          <w:szCs w:val="24"/>
        </w:rPr>
        <w:footnoteReference w:id="63"/>
      </w:r>
      <w:r w:rsidR="00EE7E3C" w:rsidRPr="00762CFC">
        <w:rPr>
          <w:rFonts w:ascii="Times New Roman" w:hAnsi="Times New Roman" w:cs="Times New Roman"/>
          <w:color w:val="212121"/>
          <w:sz w:val="24"/>
          <w:szCs w:val="24"/>
        </w:rPr>
        <w:t xml:space="preserve">  In other </w:t>
      </w:r>
      <w:r w:rsidR="00EE7E3C" w:rsidRPr="00762CFC">
        <w:rPr>
          <w:rFonts w:ascii="Times New Roman" w:hAnsi="Times New Roman" w:cs="Times New Roman"/>
          <w:sz w:val="24"/>
          <w:szCs w:val="24"/>
        </w:rPr>
        <w:t>words, a</w:t>
      </w:r>
      <w:r w:rsidRPr="00762CFC">
        <w:rPr>
          <w:rFonts w:ascii="Times New Roman" w:hAnsi="Times New Roman" w:cs="Times New Roman"/>
          <w:sz w:val="24"/>
          <w:szCs w:val="24"/>
        </w:rPr>
        <w:t xml:space="preserve"> good and marketable title is one proven to be free of legal defects by all the means available to prove the quality of the title.</w:t>
      </w:r>
      <w:r w:rsidR="00D62770" w:rsidRPr="00762CFC">
        <w:rPr>
          <w:rFonts w:ascii="Times New Roman" w:hAnsi="Times New Roman" w:cs="Times New Roman"/>
          <w:sz w:val="24"/>
          <w:szCs w:val="24"/>
        </w:rPr>
        <w:t xml:space="preserve">  And, the way one proves that title is good and marketable is </w:t>
      </w:r>
      <w:r w:rsidR="00354C9D" w:rsidRPr="00762CFC">
        <w:rPr>
          <w:rFonts w:ascii="Times New Roman" w:hAnsi="Times New Roman" w:cs="Times New Roman"/>
          <w:sz w:val="24"/>
          <w:szCs w:val="24"/>
        </w:rPr>
        <w:t>typically through a title search.</w:t>
      </w:r>
    </w:p>
    <w:p w:rsidR="005C33E6" w:rsidRPr="00762CFC" w:rsidRDefault="00354C9D" w:rsidP="002B3299">
      <w:pPr>
        <w:shd w:val="clear" w:color="auto" w:fill="FFFFFF"/>
        <w:spacing w:after="0" w:line="360" w:lineRule="auto"/>
        <w:ind w:firstLine="720"/>
        <w:jc w:val="both"/>
        <w:rPr>
          <w:rFonts w:ascii="Times New Roman" w:hAnsi="Times New Roman" w:cs="Times New Roman"/>
          <w:sz w:val="24"/>
          <w:szCs w:val="24"/>
          <w:shd w:val="clear" w:color="auto" w:fill="FFFFFF"/>
        </w:rPr>
      </w:pPr>
      <w:r w:rsidRPr="00762CFC">
        <w:rPr>
          <w:rFonts w:ascii="Times New Roman" w:hAnsi="Times New Roman" w:cs="Times New Roman"/>
          <w:sz w:val="24"/>
          <w:szCs w:val="24"/>
          <w:shd w:val="clear" w:color="auto" w:fill="FFFFFF"/>
        </w:rPr>
        <w:t>In Georgia, th</w:t>
      </w:r>
      <w:r w:rsidR="005C33E6" w:rsidRPr="00762CFC">
        <w:rPr>
          <w:rFonts w:ascii="Times New Roman" w:hAnsi="Times New Roman" w:cs="Times New Roman"/>
          <w:sz w:val="24"/>
          <w:szCs w:val="24"/>
          <w:shd w:val="clear" w:color="auto" w:fill="FFFFFF"/>
        </w:rPr>
        <w:t xml:space="preserve">e </w:t>
      </w:r>
      <w:r w:rsidRPr="00762CFC">
        <w:rPr>
          <w:rFonts w:ascii="Times New Roman" w:hAnsi="Times New Roman" w:cs="Times New Roman"/>
          <w:sz w:val="24"/>
          <w:szCs w:val="24"/>
          <w:shd w:val="clear" w:color="auto" w:fill="FFFFFF"/>
        </w:rPr>
        <w:t>M</w:t>
      </w:r>
      <w:r w:rsidR="005C33E6" w:rsidRPr="00762CFC">
        <w:rPr>
          <w:rFonts w:ascii="Times New Roman" w:hAnsi="Times New Roman" w:cs="Times New Roman"/>
          <w:sz w:val="24"/>
          <w:szCs w:val="24"/>
          <w:shd w:val="clear" w:color="auto" w:fill="FFFFFF"/>
        </w:rPr>
        <w:t xml:space="preserve">arketable </w:t>
      </w:r>
      <w:r w:rsidRPr="00762CFC">
        <w:rPr>
          <w:rFonts w:ascii="Times New Roman" w:hAnsi="Times New Roman" w:cs="Times New Roman"/>
          <w:sz w:val="24"/>
          <w:szCs w:val="24"/>
          <w:shd w:val="clear" w:color="auto" w:fill="FFFFFF"/>
        </w:rPr>
        <w:t>T</w:t>
      </w:r>
      <w:r w:rsidR="005C33E6" w:rsidRPr="00762CFC">
        <w:rPr>
          <w:rFonts w:ascii="Times New Roman" w:hAnsi="Times New Roman" w:cs="Times New Roman"/>
          <w:sz w:val="24"/>
          <w:szCs w:val="24"/>
          <w:shd w:val="clear" w:color="auto" w:fill="FFFFFF"/>
        </w:rPr>
        <w:t xml:space="preserve">itle </w:t>
      </w:r>
      <w:r w:rsidRPr="00762CFC">
        <w:rPr>
          <w:rFonts w:ascii="Times New Roman" w:hAnsi="Times New Roman" w:cs="Times New Roman"/>
          <w:sz w:val="24"/>
          <w:szCs w:val="24"/>
          <w:shd w:val="clear" w:color="auto" w:fill="FFFFFF"/>
        </w:rPr>
        <w:t>A</w:t>
      </w:r>
      <w:r w:rsidR="005C33E6" w:rsidRPr="00762CFC">
        <w:rPr>
          <w:rFonts w:ascii="Times New Roman" w:hAnsi="Times New Roman" w:cs="Times New Roman"/>
          <w:sz w:val="24"/>
          <w:szCs w:val="24"/>
          <w:shd w:val="clear" w:color="auto" w:fill="FFFFFF"/>
        </w:rPr>
        <w:t xml:space="preserve">ct has a 40 year </w:t>
      </w:r>
      <w:r w:rsidR="00D62770" w:rsidRPr="00762CFC">
        <w:rPr>
          <w:rFonts w:ascii="Times New Roman" w:hAnsi="Times New Roman" w:cs="Times New Roman"/>
          <w:sz w:val="24"/>
          <w:szCs w:val="24"/>
          <w:shd w:val="clear" w:color="auto" w:fill="FFFFFF"/>
        </w:rPr>
        <w:t>title s</w:t>
      </w:r>
      <w:r w:rsidR="005C33E6" w:rsidRPr="00762CFC">
        <w:rPr>
          <w:rFonts w:ascii="Times New Roman" w:hAnsi="Times New Roman" w:cs="Times New Roman"/>
          <w:sz w:val="24"/>
          <w:szCs w:val="24"/>
          <w:shd w:val="clear" w:color="auto" w:fill="FFFFFF"/>
        </w:rPr>
        <w:t>earch requirement</w:t>
      </w:r>
      <w:r w:rsidR="003B043E" w:rsidRPr="00762CFC">
        <w:rPr>
          <w:rFonts w:ascii="Times New Roman" w:hAnsi="Times New Roman" w:cs="Times New Roman"/>
          <w:sz w:val="24"/>
          <w:szCs w:val="24"/>
          <w:shd w:val="clear" w:color="auto" w:fill="FFFFFF"/>
        </w:rPr>
        <w:t>:</w:t>
      </w:r>
      <w:r w:rsidR="005C33E6" w:rsidRPr="00762CFC">
        <w:rPr>
          <w:rFonts w:ascii="Times New Roman" w:hAnsi="Times New Roman" w:cs="Times New Roman"/>
          <w:sz w:val="24"/>
          <w:szCs w:val="24"/>
          <w:shd w:val="clear" w:color="auto" w:fill="FFFFFF"/>
        </w:rPr>
        <w:t xml:space="preserve"> “a prima facia case shall be made out in actions respecting title to land upon showing good record title for a period of 40 years, and it shall not be necessary under such circumstances to prove title to the original grant from the state.</w:t>
      </w:r>
      <w:r w:rsidR="003B043E" w:rsidRPr="00762CFC">
        <w:rPr>
          <w:rFonts w:ascii="Times New Roman" w:hAnsi="Times New Roman" w:cs="Times New Roman"/>
          <w:sz w:val="24"/>
          <w:szCs w:val="24"/>
          <w:shd w:val="clear" w:color="auto" w:fill="FFFFFF"/>
        </w:rPr>
        <w:t>”</w:t>
      </w:r>
      <w:r w:rsidR="003B043E" w:rsidRPr="00762CFC">
        <w:rPr>
          <w:rStyle w:val="FootnoteReference"/>
          <w:rFonts w:ascii="Times New Roman" w:hAnsi="Times New Roman" w:cs="Times New Roman"/>
          <w:sz w:val="24"/>
          <w:szCs w:val="24"/>
          <w:shd w:val="clear" w:color="auto" w:fill="FFFFFF"/>
        </w:rPr>
        <w:footnoteReference w:id="64"/>
      </w:r>
      <w:r w:rsidR="005C33E6" w:rsidRPr="00762CFC">
        <w:rPr>
          <w:rFonts w:ascii="Times New Roman" w:hAnsi="Times New Roman" w:cs="Times New Roman"/>
          <w:sz w:val="24"/>
          <w:szCs w:val="24"/>
          <w:shd w:val="clear" w:color="auto" w:fill="FFFFFF"/>
        </w:rPr>
        <w:t xml:space="preserve">  </w:t>
      </w:r>
      <w:r w:rsidR="00D358D2" w:rsidRPr="00762CFC">
        <w:rPr>
          <w:rFonts w:ascii="Times New Roman" w:hAnsi="Times New Roman" w:cs="Times New Roman"/>
          <w:sz w:val="24"/>
          <w:szCs w:val="24"/>
          <w:shd w:val="clear" w:color="auto" w:fill="FFFFFF"/>
        </w:rPr>
        <w:t xml:space="preserve">However, </w:t>
      </w:r>
      <w:r w:rsidR="003B043E" w:rsidRPr="00762CFC">
        <w:rPr>
          <w:rFonts w:ascii="Times New Roman" w:hAnsi="Times New Roman" w:cs="Times New Roman"/>
          <w:sz w:val="24"/>
          <w:szCs w:val="24"/>
          <w:shd w:val="clear" w:color="auto" w:fill="FFFFFF"/>
        </w:rPr>
        <w:t xml:space="preserve">it </w:t>
      </w:r>
      <w:r w:rsidR="00D358D2" w:rsidRPr="00762CFC">
        <w:rPr>
          <w:rFonts w:ascii="Times New Roman" w:hAnsi="Times New Roman" w:cs="Times New Roman"/>
          <w:sz w:val="24"/>
          <w:szCs w:val="24"/>
          <w:shd w:val="clear" w:color="auto" w:fill="FFFFFF"/>
        </w:rPr>
        <w:t xml:space="preserve">typically </w:t>
      </w:r>
      <w:r w:rsidR="003B043E" w:rsidRPr="00762CFC">
        <w:rPr>
          <w:rFonts w:ascii="Times New Roman" w:hAnsi="Times New Roman" w:cs="Times New Roman"/>
          <w:sz w:val="24"/>
          <w:szCs w:val="24"/>
          <w:shd w:val="clear" w:color="auto" w:fill="FFFFFF"/>
        </w:rPr>
        <w:t xml:space="preserve">is local custom to follow the State </w:t>
      </w:r>
      <w:r w:rsidR="00D358D2" w:rsidRPr="00762CFC">
        <w:rPr>
          <w:rFonts w:ascii="Times New Roman" w:hAnsi="Times New Roman" w:cs="Times New Roman"/>
          <w:sz w:val="24"/>
          <w:szCs w:val="24"/>
          <w:shd w:val="clear" w:color="auto" w:fill="FFFFFF"/>
        </w:rPr>
        <w:t>Bar of Georgia title standards</w:t>
      </w:r>
      <w:r w:rsidR="00365CC4" w:rsidRPr="00762CFC">
        <w:rPr>
          <w:rFonts w:ascii="Times New Roman" w:hAnsi="Times New Roman" w:cs="Times New Roman"/>
          <w:sz w:val="24"/>
          <w:szCs w:val="24"/>
          <w:shd w:val="clear" w:color="auto" w:fill="FFFFFF"/>
        </w:rPr>
        <w:t>:</w:t>
      </w:r>
    </w:p>
    <w:p w:rsidR="00365CC4" w:rsidRPr="00762CFC" w:rsidRDefault="00365CC4" w:rsidP="001A6ADA">
      <w:pPr>
        <w:shd w:val="clear" w:color="auto" w:fill="FFFFFF"/>
        <w:spacing w:after="0" w:line="240" w:lineRule="auto"/>
        <w:ind w:left="720" w:right="720"/>
        <w:jc w:val="both"/>
        <w:rPr>
          <w:rFonts w:ascii="Times New Roman" w:hAnsi="Times New Roman" w:cs="Times New Roman"/>
          <w:sz w:val="24"/>
          <w:szCs w:val="24"/>
        </w:rPr>
      </w:pPr>
      <w:r w:rsidRPr="00762CFC">
        <w:rPr>
          <w:rFonts w:ascii="Times New Roman" w:hAnsi="Times New Roman" w:cs="Times New Roman"/>
          <w:sz w:val="24"/>
          <w:szCs w:val="24"/>
        </w:rPr>
        <w:t xml:space="preserve">A record title covering a period of </w:t>
      </w:r>
      <w:r w:rsidRPr="00762CFC">
        <w:rPr>
          <w:rFonts w:ascii="Times New Roman" w:hAnsi="Times New Roman" w:cs="Times New Roman"/>
          <w:b/>
          <w:sz w:val="24"/>
          <w:szCs w:val="24"/>
          <w:u w:val="single"/>
        </w:rPr>
        <w:t>50 years</w:t>
      </w:r>
      <w:r w:rsidRPr="00762CFC">
        <w:rPr>
          <w:rFonts w:ascii="Times New Roman" w:hAnsi="Times New Roman" w:cs="Times New Roman"/>
          <w:sz w:val="24"/>
          <w:szCs w:val="24"/>
        </w:rPr>
        <w:t xml:space="preserve"> or more is considered sufficient to determine marketability; provided that the basis thereof is a warranty deed, one or more quitclaim deeds supported by a reasonable proof that they convey the full title, or a grant from the state, a probate proceeding in which the property is reasonably identifiable, a security deed if subsequently regularly foreclosed or any other instrument which shows of record reasonable probability of title and possession thereunder; provided further that the period actually searched does not refer to or indicate prior instruments or defects in title, in which case such prior instruments may be used in turn as a start, and that the period actually searched discloses instruments which confirm and carry forward the title to be established.</w:t>
      </w:r>
      <w:r w:rsidR="006541DD" w:rsidRPr="00762CFC">
        <w:rPr>
          <w:rFonts w:ascii="Times New Roman" w:hAnsi="Times New Roman" w:cs="Times New Roman"/>
          <w:sz w:val="24"/>
          <w:szCs w:val="24"/>
        </w:rPr>
        <w:t xml:space="preserve">  (Emphasis added).</w:t>
      </w:r>
      <w:r w:rsidR="006541DD" w:rsidRPr="00762CFC">
        <w:rPr>
          <w:rStyle w:val="FootnoteReference"/>
          <w:rFonts w:ascii="Times New Roman" w:hAnsi="Times New Roman" w:cs="Times New Roman"/>
          <w:sz w:val="24"/>
          <w:szCs w:val="24"/>
        </w:rPr>
        <w:footnoteReference w:id="65"/>
      </w:r>
    </w:p>
    <w:p w:rsidR="00365CC4" w:rsidRPr="00762CFC" w:rsidRDefault="00365CC4" w:rsidP="002B3299">
      <w:pPr>
        <w:shd w:val="clear" w:color="auto" w:fill="FFFFFF"/>
        <w:spacing w:after="0" w:line="360" w:lineRule="auto"/>
        <w:jc w:val="both"/>
        <w:rPr>
          <w:rFonts w:ascii="Times New Roman" w:hAnsi="Times New Roman" w:cs="Times New Roman"/>
          <w:sz w:val="24"/>
          <w:szCs w:val="24"/>
        </w:rPr>
      </w:pPr>
    </w:p>
    <w:p w:rsidR="00354C9D" w:rsidRPr="00762CFC" w:rsidRDefault="00354C9D" w:rsidP="002B3299">
      <w:pPr>
        <w:pStyle w:val="NormalWeb"/>
        <w:shd w:val="clear" w:color="auto" w:fill="FFFFFF"/>
        <w:spacing w:before="0" w:beforeAutospacing="0" w:after="0" w:afterAutospacing="0" w:line="360" w:lineRule="auto"/>
        <w:jc w:val="both"/>
        <w:rPr>
          <w:b/>
        </w:rPr>
      </w:pPr>
      <w:r w:rsidRPr="00762CFC">
        <w:rPr>
          <w:b/>
        </w:rPr>
        <w:tab/>
        <w:t>B.</w:t>
      </w:r>
      <w:r w:rsidRPr="00762CFC">
        <w:rPr>
          <w:b/>
        </w:rPr>
        <w:tab/>
        <w:t>How Does “Insurable Title” Differ from Marketable Title?</w:t>
      </w:r>
    </w:p>
    <w:p w:rsidR="00F35223" w:rsidRPr="00762CFC" w:rsidRDefault="00F35223" w:rsidP="002B3299">
      <w:pPr>
        <w:pStyle w:val="NormalWeb"/>
        <w:shd w:val="clear" w:color="auto" w:fill="FFFFFF"/>
        <w:spacing w:before="0" w:beforeAutospacing="0" w:after="0" w:afterAutospacing="0" w:line="360" w:lineRule="auto"/>
        <w:ind w:firstLine="720"/>
        <w:jc w:val="both"/>
      </w:pPr>
      <w:r w:rsidRPr="00762CFC">
        <w:t>In contrast, an insurable title does, or may have, a known defect or</w:t>
      </w:r>
      <w:r w:rsidRPr="00762CFC">
        <w:rPr>
          <w:rStyle w:val="apple-converted-space"/>
        </w:rPr>
        <w:t> </w:t>
      </w:r>
      <w:r w:rsidRPr="00762CFC">
        <w:t>defects in the chain of title.  However, with an insurable title, a title insurance company has agreed in advance to provide insurance against the defects</w:t>
      </w:r>
      <w:r w:rsidRPr="00762CFC">
        <w:rPr>
          <w:rStyle w:val="apple-converted-space"/>
        </w:rPr>
        <w:t> </w:t>
      </w:r>
      <w:r w:rsidRPr="00762CFC">
        <w:t>ever affecting the ownership or value of the property.</w:t>
      </w:r>
    </w:p>
    <w:p w:rsidR="00F35223" w:rsidRPr="00762CFC" w:rsidRDefault="00F35223" w:rsidP="002B3299">
      <w:pPr>
        <w:pStyle w:val="NormalWeb"/>
        <w:shd w:val="clear" w:color="auto" w:fill="FFFFFF"/>
        <w:spacing w:before="0" w:beforeAutospacing="0" w:after="0" w:afterAutospacing="0" w:line="360" w:lineRule="auto"/>
        <w:jc w:val="both"/>
      </w:pPr>
      <w:r w:rsidRPr="00762CFC">
        <w:t>  </w:t>
      </w:r>
      <w:r w:rsidRPr="00762CFC">
        <w:tab/>
        <w:t xml:space="preserve">If a property does not have a current, valid title insurance policy and there is a defect in the chain of title, then the defect must be cured or repaired before a seller can convey marketable title.  If there is a current policy, rather than curing or fixing the defect, which can be very expensive and time consuming, the title insurance company may elect to insure against any problem the defect may cause in the future.  That is, the insurance company agrees to fix the problem only when – and IF – it ever becomes an immediate problem.  Some defects in title may </w:t>
      </w:r>
      <w:r w:rsidRPr="00762CFC">
        <w:lastRenderedPageBreak/>
        <w:t>never become a problem or threaten the value or ownership of the property.  Title insurance companies, like any insurance companies are in the business of risk management, and whenever possible would rather defer the risk then to pay to address/correct it.</w:t>
      </w:r>
    </w:p>
    <w:p w:rsidR="00F35223" w:rsidRPr="00762CFC" w:rsidRDefault="00F35223" w:rsidP="002B3299">
      <w:pPr>
        <w:pStyle w:val="NormalWeb"/>
        <w:shd w:val="clear" w:color="auto" w:fill="FFFFFF"/>
        <w:spacing w:before="0" w:beforeAutospacing="0" w:after="0" w:afterAutospacing="0" w:line="360" w:lineRule="auto"/>
        <w:ind w:firstLine="720"/>
        <w:jc w:val="both"/>
      </w:pPr>
      <w:r w:rsidRPr="00762CFC">
        <w:t>One of the biggest problems with insurable title is that a buyer of a property accepting insurable title (rather than marketable title) is taking a risk of their own.  It’s not that the defects may ever threaten the value or ownership of the property, but that upon resale of the property the next buyer may not be as willing to accept the insurable title and may demand a marketable title. </w:t>
      </w:r>
    </w:p>
    <w:p w:rsidR="00F35223" w:rsidRPr="00762CFC" w:rsidRDefault="00232DD9" w:rsidP="002B3299">
      <w:pPr>
        <w:spacing w:after="0" w:line="360" w:lineRule="auto"/>
        <w:ind w:firstLine="720"/>
        <w:jc w:val="both"/>
        <w:rPr>
          <w:rFonts w:ascii="Times New Roman" w:hAnsi="Times New Roman" w:cs="Times New Roman"/>
          <w:b/>
          <w:sz w:val="24"/>
          <w:szCs w:val="24"/>
        </w:rPr>
      </w:pPr>
      <w:r w:rsidRPr="00762CFC">
        <w:rPr>
          <w:rFonts w:ascii="Times New Roman" w:hAnsi="Times New Roman" w:cs="Times New Roman"/>
          <w:b/>
          <w:sz w:val="24"/>
          <w:szCs w:val="24"/>
        </w:rPr>
        <w:t>C.</w:t>
      </w:r>
      <w:r w:rsidR="00F35223" w:rsidRPr="00762CFC">
        <w:rPr>
          <w:rFonts w:ascii="Times New Roman" w:hAnsi="Times New Roman" w:cs="Times New Roman"/>
          <w:b/>
          <w:sz w:val="24"/>
          <w:szCs w:val="24"/>
        </w:rPr>
        <w:tab/>
        <w:t>Types of Title Defects</w:t>
      </w:r>
    </w:p>
    <w:p w:rsidR="00F35223" w:rsidRPr="00762CFC" w:rsidRDefault="00232DD9" w:rsidP="002B3299">
      <w:pPr>
        <w:spacing w:after="0" w:line="360" w:lineRule="auto"/>
        <w:ind w:left="720" w:firstLine="720"/>
        <w:jc w:val="both"/>
        <w:rPr>
          <w:rFonts w:ascii="Times New Roman" w:hAnsi="Times New Roman" w:cs="Times New Roman"/>
          <w:b/>
          <w:sz w:val="24"/>
          <w:szCs w:val="24"/>
        </w:rPr>
      </w:pPr>
      <w:r w:rsidRPr="00762CFC">
        <w:rPr>
          <w:rFonts w:ascii="Times New Roman" w:hAnsi="Times New Roman" w:cs="Times New Roman"/>
          <w:b/>
          <w:sz w:val="24"/>
          <w:szCs w:val="24"/>
        </w:rPr>
        <w:t>1</w:t>
      </w:r>
      <w:r w:rsidR="00F35223" w:rsidRPr="00762CFC">
        <w:rPr>
          <w:rFonts w:ascii="Times New Roman" w:hAnsi="Times New Roman" w:cs="Times New Roman"/>
          <w:b/>
          <w:sz w:val="24"/>
          <w:szCs w:val="24"/>
        </w:rPr>
        <w:t>.</w:t>
      </w:r>
      <w:r w:rsidR="00F35223" w:rsidRPr="00762CFC">
        <w:rPr>
          <w:rFonts w:ascii="Times New Roman" w:hAnsi="Times New Roman" w:cs="Times New Roman"/>
          <w:b/>
          <w:sz w:val="24"/>
          <w:szCs w:val="24"/>
        </w:rPr>
        <w:tab/>
        <w:t xml:space="preserve">Apparent Breaks In Chain Of Title  </w:t>
      </w:r>
    </w:p>
    <w:p w:rsidR="00F35223" w:rsidRPr="00762CFC" w:rsidRDefault="00F35223" w:rsidP="002B3299">
      <w:pPr>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 xml:space="preserve">Apparent breaks are not actually breaks in the chain of title. They are cases or situations in which certain necessary information, reflecting actual facts, </w:t>
      </w:r>
      <w:r w:rsidR="00C01A2A" w:rsidRPr="00762CFC">
        <w:rPr>
          <w:rFonts w:ascii="Times New Roman" w:hAnsi="Times New Roman" w:cs="Times New Roman"/>
          <w:sz w:val="24"/>
          <w:szCs w:val="24"/>
        </w:rPr>
        <w:t>has</w:t>
      </w:r>
      <w:r w:rsidRPr="00762CFC">
        <w:rPr>
          <w:rFonts w:ascii="Times New Roman" w:hAnsi="Times New Roman" w:cs="Times New Roman"/>
          <w:sz w:val="24"/>
          <w:szCs w:val="24"/>
        </w:rPr>
        <w:t xml:space="preserve"> not been filed for record. Once this information is made part of the land records, the break disappears.</w:t>
      </w:r>
    </w:p>
    <w:p w:rsidR="00F35223" w:rsidRPr="00762CFC" w:rsidRDefault="00F35223" w:rsidP="002B3299">
      <w:p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Among the most common apparent breaks, we can cite:</w:t>
      </w:r>
    </w:p>
    <w:p w:rsidR="00F35223" w:rsidRPr="00762CFC" w:rsidRDefault="00F35223" w:rsidP="002B3299">
      <w:pPr>
        <w:numPr>
          <w:ilvl w:val="0"/>
          <w:numId w:val="10"/>
        </w:num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Unrecorded Instruments.  These are validly executed and acknowledged instruments that have not been filed for record.  This apparent break can be eliminated by filing these instruments of record.</w:t>
      </w:r>
    </w:p>
    <w:p w:rsidR="00F35223" w:rsidRPr="00762CFC" w:rsidRDefault="00F35223" w:rsidP="002B3299">
      <w:pPr>
        <w:numPr>
          <w:ilvl w:val="0"/>
          <w:numId w:val="10"/>
        </w:num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Matters of Probate.</w:t>
      </w:r>
    </w:p>
    <w:p w:rsidR="00F35223" w:rsidRPr="00762CFC" w:rsidRDefault="00F35223" w:rsidP="002B3299">
      <w:pPr>
        <w:numPr>
          <w:ilvl w:val="1"/>
          <w:numId w:val="10"/>
        </w:num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Lack of Proceedings.  In the absence of probate proceedings, and after the expiration of the allowed statutory period of time for commencement, this apparent break can be eliminated by the filing for record of a satisfactorily and properly executed affidavit of heirship stating the necessary heirship information.</w:t>
      </w:r>
    </w:p>
    <w:p w:rsidR="00F35223" w:rsidRPr="00762CFC" w:rsidRDefault="00F35223" w:rsidP="002B3299">
      <w:pPr>
        <w:numPr>
          <w:ilvl w:val="1"/>
          <w:numId w:val="10"/>
        </w:num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Probate Proceedings in Different Jurisdiction.  The recordation of proper transcripts of probate proceedings can eliminate the apparent break.</w:t>
      </w:r>
    </w:p>
    <w:p w:rsidR="00F35223" w:rsidRPr="00762CFC" w:rsidRDefault="00F35223" w:rsidP="002B3299">
      <w:pPr>
        <w:numPr>
          <w:ilvl w:val="0"/>
          <w:numId w:val="10"/>
        </w:num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Matters of Corporation.  The recordation of proper certificates of merger, acquisition, or change of value can eliminate the apparent break.</w:t>
      </w:r>
    </w:p>
    <w:p w:rsidR="00F35223" w:rsidRPr="00762CFC" w:rsidRDefault="00F35223" w:rsidP="002B3299">
      <w:pPr>
        <w:numPr>
          <w:ilvl w:val="0"/>
          <w:numId w:val="10"/>
        </w:num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Divorce Proceedings in Different Jurisdictions.  The recordation of proper transcripts of the divorce proceedings can eliminate the apparent break.</w:t>
      </w:r>
    </w:p>
    <w:p w:rsidR="00F35223" w:rsidRPr="00762CFC" w:rsidRDefault="00F35223" w:rsidP="002B3299">
      <w:pPr>
        <w:numPr>
          <w:ilvl w:val="0"/>
          <w:numId w:val="10"/>
        </w:num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Proof of Death.  The recordation of a death certificate or a proper affidavit can eliminate the apparent break.</w:t>
      </w:r>
    </w:p>
    <w:p w:rsidR="00F35223" w:rsidRPr="00762CFC" w:rsidRDefault="00F35223" w:rsidP="002B3299">
      <w:pPr>
        <w:numPr>
          <w:ilvl w:val="0"/>
          <w:numId w:val="10"/>
        </w:numPr>
        <w:shd w:val="clear" w:color="auto" w:fill="FFFFFF"/>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lastRenderedPageBreak/>
        <w:t>Variation in Names.  It is essential to a record title to land that the various instruments in the chain show a direct connection between the different owners.  Any substantial variation between the name of the grantee in one instrument and of the grantor in the following instrument will render the title unmarketable. If there is a variance between the name of the grantee in a deed to him/ her and the name of such person as grantor in a subsequent deed from him/her, title under the latter deed is unmarketable unless the two names can be identified as those of one and the same person.</w:t>
      </w:r>
    </w:p>
    <w:p w:rsidR="00F35223" w:rsidRPr="00762CFC" w:rsidRDefault="00F35223" w:rsidP="002B3299">
      <w:pPr>
        <w:numPr>
          <w:ilvl w:val="1"/>
          <w:numId w:val="10"/>
        </w:num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Where there are variations between the Christian name of the grantee in one instrument and the grantor in the following instrument, between the surnames of a grantee in one instrument and the grantor in the following instrument, or between the name of the mortgagee in a mortgage and his/her name in a subsequently executed release or satisfaction, affidavits or corrected deeds must be executed in order to cure the defect in title.  A mistake in the name of a party to the deed may be proven by an affidavit made at the time of changing the deed to correct the mistake.  Often affidavits or a corrected deed is all that is needed to cure the defect.  </w:t>
      </w:r>
    </w:p>
    <w:p w:rsidR="00F35223" w:rsidRPr="00762CFC" w:rsidRDefault="00F35223" w:rsidP="002B3299">
      <w:pPr>
        <w:spacing w:after="0" w:line="360" w:lineRule="auto"/>
        <w:jc w:val="both"/>
        <w:rPr>
          <w:rFonts w:ascii="Times New Roman" w:hAnsi="Times New Roman" w:cs="Times New Roman"/>
          <w:b/>
          <w:sz w:val="24"/>
          <w:szCs w:val="24"/>
        </w:rPr>
      </w:pPr>
      <w:r w:rsidRPr="00762CFC">
        <w:rPr>
          <w:rFonts w:ascii="Times New Roman" w:hAnsi="Times New Roman" w:cs="Times New Roman"/>
          <w:b/>
          <w:sz w:val="24"/>
          <w:szCs w:val="24"/>
        </w:rPr>
        <w:tab/>
      </w:r>
      <w:r w:rsidR="00232DD9" w:rsidRPr="00762CFC">
        <w:rPr>
          <w:rFonts w:ascii="Times New Roman" w:hAnsi="Times New Roman" w:cs="Times New Roman"/>
          <w:b/>
          <w:sz w:val="24"/>
          <w:szCs w:val="24"/>
        </w:rPr>
        <w:tab/>
        <w:t>2</w:t>
      </w:r>
      <w:r w:rsidRPr="00762CFC">
        <w:rPr>
          <w:rFonts w:ascii="Times New Roman" w:hAnsi="Times New Roman" w:cs="Times New Roman"/>
          <w:b/>
          <w:sz w:val="24"/>
          <w:szCs w:val="24"/>
        </w:rPr>
        <w:t>.</w:t>
      </w:r>
      <w:r w:rsidRPr="00762CFC">
        <w:rPr>
          <w:rFonts w:ascii="Times New Roman" w:hAnsi="Times New Roman" w:cs="Times New Roman"/>
          <w:b/>
          <w:sz w:val="24"/>
          <w:szCs w:val="24"/>
        </w:rPr>
        <w:tab/>
        <w:t xml:space="preserve">Real Breaks In Chain Of Title  </w:t>
      </w:r>
    </w:p>
    <w:p w:rsidR="00F35223" w:rsidRPr="00762CFC" w:rsidRDefault="00F35223" w:rsidP="002B3299">
      <w:pPr>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Conversely, real breaks are actual breaks in the chain of title. These situations cannot be cured by adding certain additional information to the records. These situations relate to parties who claim and hold certain rights, title or interest in the property which are adverse to those being claimed by the present record owners.  These real breaks can be corrected by the elimination of the rights and interests of these claimants through one of the following methods:</w:t>
      </w:r>
    </w:p>
    <w:p w:rsidR="00F35223" w:rsidRPr="00762CFC" w:rsidRDefault="00F35223" w:rsidP="002B3299">
      <w:pPr>
        <w:numPr>
          <w:ilvl w:val="0"/>
          <w:numId w:val="10"/>
        </w:num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The execution and filing for record of a proper quitclaim deed.</w:t>
      </w:r>
    </w:p>
    <w:p w:rsidR="00F35223" w:rsidRPr="00762CFC" w:rsidRDefault="00F35223" w:rsidP="002B3299">
      <w:pPr>
        <w:numPr>
          <w:ilvl w:val="0"/>
          <w:numId w:val="10"/>
        </w:num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The filing and completion of a quiet title action or a trespass to try title action with a certified copy of the final judgment or decree filed for record.</w:t>
      </w:r>
    </w:p>
    <w:p w:rsidR="00F35223" w:rsidRPr="00762CFC" w:rsidRDefault="00F35223" w:rsidP="002B3299">
      <w:pPr>
        <w:numPr>
          <w:ilvl w:val="0"/>
          <w:numId w:val="10"/>
        </w:num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The provisions of the state's marketable title act, if any.</w:t>
      </w:r>
    </w:p>
    <w:p w:rsidR="00F35223" w:rsidRPr="00762CFC" w:rsidRDefault="00F35223" w:rsidP="002B3299">
      <w:pPr>
        <w:numPr>
          <w:ilvl w:val="0"/>
          <w:numId w:val="10"/>
        </w:numPr>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In some jurisdictions, by recording an affidavit of adverse possession relative to the uninterrupted period of adverse possession established by state law.</w:t>
      </w:r>
    </w:p>
    <w:p w:rsidR="00F35223" w:rsidRPr="00762CFC" w:rsidRDefault="00F35223" w:rsidP="002B3299">
      <w:pPr>
        <w:shd w:val="clear" w:color="auto" w:fill="FFFFFF"/>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 xml:space="preserve">1. </w:t>
      </w:r>
      <w:r w:rsidRPr="00762CFC">
        <w:rPr>
          <w:rFonts w:ascii="Times New Roman" w:hAnsi="Times New Roman" w:cs="Times New Roman"/>
          <w:sz w:val="24"/>
          <w:szCs w:val="24"/>
        </w:rPr>
        <w:tab/>
        <w:t>Errors in public records.  Clerical or filing errors could affect the deed or survey of the property and cause undo financial strain in order to resolve them.</w:t>
      </w:r>
    </w:p>
    <w:p w:rsidR="00F35223" w:rsidRPr="00762CFC" w:rsidRDefault="00F35223" w:rsidP="002B3299">
      <w:pPr>
        <w:shd w:val="clear" w:color="auto" w:fill="FFFFFF"/>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lastRenderedPageBreak/>
        <w:t xml:space="preserve">2. </w:t>
      </w:r>
      <w:r w:rsidRPr="00762CFC">
        <w:rPr>
          <w:rFonts w:ascii="Times New Roman" w:hAnsi="Times New Roman" w:cs="Times New Roman"/>
          <w:sz w:val="24"/>
          <w:szCs w:val="24"/>
        </w:rPr>
        <w:tab/>
        <w:t>Unknown liens.  Prior owners of property may not have been meticulous bookkeepers — or bill payers. And even though the former debt is not the buyer’s, banks or other financing companies can place liens on property for unpaid debts even after a buyer has closed on the sale. This is an especially worrisome issue with distressed properties.</w:t>
      </w:r>
    </w:p>
    <w:p w:rsidR="00F35223" w:rsidRPr="00762CFC" w:rsidRDefault="00F35223" w:rsidP="002B3299">
      <w:pPr>
        <w:shd w:val="clear" w:color="auto" w:fill="FFFFFF"/>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 xml:space="preserve">3. </w:t>
      </w:r>
      <w:r w:rsidRPr="00762CFC">
        <w:rPr>
          <w:rFonts w:ascii="Times New Roman" w:hAnsi="Times New Roman" w:cs="Times New Roman"/>
          <w:sz w:val="24"/>
          <w:szCs w:val="24"/>
        </w:rPr>
        <w:tab/>
        <w:t>Illegal deeds.  While the chain of title on the property may appear perfectly sound, it's possible that a prior deed was made by an undocumented immigrant, a minor, a person of unsound mind, or one who is reported single but in actuality married. These instances may affect the enforceability of prior deeds, affecting prior (and possibly present) ownership.</w:t>
      </w:r>
    </w:p>
    <w:p w:rsidR="00F35223" w:rsidRPr="00762CFC" w:rsidRDefault="00F35223" w:rsidP="002B3299">
      <w:pPr>
        <w:shd w:val="clear" w:color="auto" w:fill="FFFFFF"/>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 xml:space="preserve">4. </w:t>
      </w:r>
      <w:r w:rsidRPr="00762CFC">
        <w:rPr>
          <w:rFonts w:ascii="Times New Roman" w:hAnsi="Times New Roman" w:cs="Times New Roman"/>
          <w:sz w:val="24"/>
          <w:szCs w:val="24"/>
        </w:rPr>
        <w:tab/>
        <w:t>Missing heirs.  When a person dies, the ownership of his home may fall to his heirs, or those named within his will.  However, those heirs are sometimes missing or unknown at the time of death. Other times, family members may contest the will for their own property rights. These scenarios — which can happen long after you have purchased the property — could affect your rights to the property.</w:t>
      </w:r>
    </w:p>
    <w:p w:rsidR="00F35223" w:rsidRPr="00762CFC" w:rsidRDefault="00F35223" w:rsidP="002B3299">
      <w:pPr>
        <w:shd w:val="clear" w:color="auto" w:fill="FFFFFF"/>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 xml:space="preserve">5. </w:t>
      </w:r>
      <w:r w:rsidRPr="00762CFC">
        <w:rPr>
          <w:rFonts w:ascii="Times New Roman" w:hAnsi="Times New Roman" w:cs="Times New Roman"/>
          <w:sz w:val="24"/>
          <w:szCs w:val="24"/>
        </w:rPr>
        <w:tab/>
        <w:t>Forgeries.  Sometimes forged or fabricated documents that affect property ownership are filed within public records, obscuring the rightful ownership of the property. Once these forgeries come to light, rights to the property may be in jeopardy.</w:t>
      </w:r>
    </w:p>
    <w:p w:rsidR="00F35223" w:rsidRPr="00762CFC" w:rsidRDefault="00F35223" w:rsidP="002B3299">
      <w:pPr>
        <w:shd w:val="clear" w:color="auto" w:fill="FFFFFF"/>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 xml:space="preserve">6. </w:t>
      </w:r>
      <w:r w:rsidRPr="00762CFC">
        <w:rPr>
          <w:rFonts w:ascii="Times New Roman" w:hAnsi="Times New Roman" w:cs="Times New Roman"/>
          <w:sz w:val="24"/>
          <w:szCs w:val="24"/>
        </w:rPr>
        <w:tab/>
        <w:t>Undiscovered encumbrances.  At the time of purchase, a buyer may not know that a third party holds a claim to all or part of her property — due to a former mortgage or lien, or non-financial claims, like restrictions or covenants limiting the use of the property.</w:t>
      </w:r>
    </w:p>
    <w:p w:rsidR="00F35223" w:rsidRPr="00762CFC" w:rsidRDefault="00F35223" w:rsidP="002B3299">
      <w:pPr>
        <w:shd w:val="clear" w:color="auto" w:fill="FFFFFF"/>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 xml:space="preserve">7. </w:t>
      </w:r>
      <w:r w:rsidRPr="00762CFC">
        <w:rPr>
          <w:rFonts w:ascii="Times New Roman" w:hAnsi="Times New Roman" w:cs="Times New Roman"/>
          <w:sz w:val="24"/>
          <w:szCs w:val="24"/>
        </w:rPr>
        <w:tab/>
        <w:t>Unknown easements.  An unknown easement may prohibit a buyer from using her property as she would like, or could allow government agencies, businesses, or other parties to access all or portions of the property.  Although usually non-financial issues, easements can still affect the right to enjoy property.</w:t>
      </w:r>
    </w:p>
    <w:p w:rsidR="00F35223" w:rsidRPr="00762CFC" w:rsidRDefault="00F35223" w:rsidP="002B3299">
      <w:pPr>
        <w:shd w:val="clear" w:color="auto" w:fill="FFFFFF"/>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 xml:space="preserve">8. </w:t>
      </w:r>
      <w:r w:rsidRPr="00762CFC">
        <w:rPr>
          <w:rFonts w:ascii="Times New Roman" w:hAnsi="Times New Roman" w:cs="Times New Roman"/>
          <w:sz w:val="24"/>
          <w:szCs w:val="24"/>
        </w:rPr>
        <w:tab/>
        <w:t>Boundary/survey disputes.  A buyer may have seen several surveys of the property prior to purchasing, however, other surveys may exist that show differing boundaries. Therefore, a neighbor or other party may be able to claim ownership to a portion of the property.</w:t>
      </w:r>
    </w:p>
    <w:p w:rsidR="00F35223" w:rsidRPr="00762CFC" w:rsidRDefault="00F35223" w:rsidP="002B3299">
      <w:pPr>
        <w:shd w:val="clear" w:color="auto" w:fill="FFFFFF"/>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 xml:space="preserve">9. </w:t>
      </w:r>
      <w:r w:rsidRPr="00762CFC">
        <w:rPr>
          <w:rFonts w:ascii="Times New Roman" w:hAnsi="Times New Roman" w:cs="Times New Roman"/>
          <w:sz w:val="24"/>
          <w:szCs w:val="24"/>
        </w:rPr>
        <w:tab/>
        <w:t>Undiscovered will.  When a property owner dies with no apparent will or heir, the state may sell his or her assets, including the home. When a buyer purchases such a home, she assumes her rights as owner. However, even years later, the deceased owner's will may come to light and buyer’s rights to the property may be seriously jeopardized.</w:t>
      </w:r>
    </w:p>
    <w:p w:rsidR="00F35223" w:rsidRPr="00762CFC" w:rsidRDefault="00F35223" w:rsidP="002B3299">
      <w:pPr>
        <w:shd w:val="clear" w:color="auto" w:fill="FFFFFF"/>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lastRenderedPageBreak/>
        <w:t xml:space="preserve">10. </w:t>
      </w:r>
      <w:r w:rsidRPr="00762CFC">
        <w:rPr>
          <w:rFonts w:ascii="Times New Roman" w:hAnsi="Times New Roman" w:cs="Times New Roman"/>
          <w:sz w:val="24"/>
          <w:szCs w:val="24"/>
        </w:rPr>
        <w:tab/>
        <w:t xml:space="preserve">False impersonation of previous owner.  Common and similar names can make it possible to falsely "impersonate" a property owner.  </w:t>
      </w:r>
    </w:p>
    <w:p w:rsidR="00F35223" w:rsidRPr="00762CFC" w:rsidRDefault="00F35223" w:rsidP="002B3299">
      <w:pPr>
        <w:pStyle w:val="NormalWeb"/>
        <w:shd w:val="clear" w:color="auto" w:fill="FFFFFF"/>
        <w:spacing w:before="0" w:beforeAutospacing="0" w:after="0" w:afterAutospacing="0" w:line="360" w:lineRule="auto"/>
        <w:ind w:firstLine="720"/>
        <w:jc w:val="both"/>
      </w:pPr>
      <w:r w:rsidRPr="00762CFC">
        <w:rPr>
          <w:rStyle w:val="Strong"/>
          <w:b w:val="0"/>
        </w:rPr>
        <w:t>11.</w:t>
      </w:r>
      <w:r w:rsidRPr="00762CFC">
        <w:rPr>
          <w:rStyle w:val="Strong"/>
          <w:b w:val="0"/>
        </w:rPr>
        <w:tab/>
        <w:t xml:space="preserve">Easements.  </w:t>
      </w:r>
      <w:r w:rsidRPr="00762CFC">
        <w:t>Any easements that appear on the title commitment should be located on the survey.  It is also important to have copies of the easement documents for review.  In connection with utility easements, if underground utilities are located on the property, the surveyor, if requested to do so, can review plans of the utility company to determine where the easements are located.  Otherwise, they can hire companies  with special equipment to detect where the utilities are located.</w:t>
      </w:r>
    </w:p>
    <w:p w:rsidR="00F35223" w:rsidRPr="00762CFC" w:rsidRDefault="00F35223" w:rsidP="002B3299">
      <w:pPr>
        <w:pStyle w:val="NormalWeb"/>
        <w:shd w:val="clear" w:color="auto" w:fill="FFFFFF"/>
        <w:spacing w:before="0" w:beforeAutospacing="0" w:after="0" w:afterAutospacing="0" w:line="360" w:lineRule="auto"/>
        <w:ind w:firstLine="720"/>
        <w:jc w:val="both"/>
      </w:pPr>
      <w:r w:rsidRPr="00762CFC">
        <w:t xml:space="preserve">In addition to easements located on the property, appurtenant easements which benefit the property should also be shown on the survey.  Sometimes, it will be necessary to obtain an appurtenant easement in case a utility runs off the property without any apparent supporting easement.  If this is the case, it must be created and the adjoining owners will need to grant it.  Sometimes, it becomes apparent from the survey that there is an appurtenant easement that does not appear on the title commitment.  It is not unusual for a title company, once the order is placed on a particular parcel of property, not to include </w:t>
      </w:r>
      <w:r w:rsidR="005076D3" w:rsidRPr="00762CFC">
        <w:t>an</w:t>
      </w:r>
      <w:r w:rsidRPr="00762CFC">
        <w:t xml:space="preserve"> appurtenant easement on the title commitment.  If this happens, it is important that the survey be discussed with the title company in connection with researching the title to the appurtenant easement.</w:t>
      </w:r>
    </w:p>
    <w:p w:rsidR="00F35223" w:rsidRPr="00762CFC" w:rsidRDefault="00D17D6F" w:rsidP="002B3299">
      <w:pPr>
        <w:pStyle w:val="NormalWeb"/>
        <w:shd w:val="clear" w:color="auto" w:fill="FFFFFF"/>
        <w:spacing w:before="0" w:beforeAutospacing="0" w:after="0" w:afterAutospacing="0" w:line="360" w:lineRule="auto"/>
        <w:ind w:firstLine="720"/>
        <w:jc w:val="both"/>
      </w:pPr>
      <w:r w:rsidRPr="00762CFC">
        <w:t>E</w:t>
      </w:r>
      <w:r w:rsidR="00F35223" w:rsidRPr="00762CFC">
        <w:t>asement</w:t>
      </w:r>
      <w:r w:rsidRPr="00762CFC">
        <w:t>s</w:t>
      </w:r>
      <w:r w:rsidR="00F35223" w:rsidRPr="00762CFC">
        <w:t xml:space="preserve"> </w:t>
      </w:r>
      <w:r w:rsidRPr="00762CFC">
        <w:t xml:space="preserve">may </w:t>
      </w:r>
      <w:r w:rsidR="00F35223" w:rsidRPr="00762CFC">
        <w:t xml:space="preserve">appear on the </w:t>
      </w:r>
      <w:r w:rsidR="004B7D22" w:rsidRPr="00762CFC">
        <w:t>surveys that are</w:t>
      </w:r>
      <w:r w:rsidR="00F35223" w:rsidRPr="00762CFC">
        <w:t xml:space="preserve"> not shown on the title commitment.  Perhaps a gravel road across the property has been observed and placed on the survey by the surveyor.  It is important for the attorney to review these sorts of items with the title company to make sure that an easement is created or that it is taken into account in the title insurance policy.  Other matters that ought to be recognized by a surveyor and shown on a survey might be a possible prescriptive easement or right of way that is unrecorded affecting the property.  This may only be apparent from a visual inspection of the property by the surveyor.  If such an easement is discovered, it should be thoroughly investigated and proper documents to validate it be drafted.</w:t>
      </w:r>
    </w:p>
    <w:p w:rsidR="00E900D0" w:rsidRPr="00762CFC" w:rsidRDefault="00D17D6F" w:rsidP="00D17D6F">
      <w:pPr>
        <w:spacing w:after="0" w:line="360" w:lineRule="auto"/>
        <w:ind w:firstLine="720"/>
        <w:jc w:val="both"/>
        <w:rPr>
          <w:rFonts w:ascii="Times New Roman" w:eastAsia="Times New Roman" w:hAnsi="Times New Roman" w:cs="Times New Roman"/>
          <w:sz w:val="24"/>
          <w:szCs w:val="24"/>
        </w:rPr>
      </w:pPr>
      <w:r w:rsidRPr="00762CFC">
        <w:rPr>
          <w:rFonts w:ascii="Times New Roman" w:hAnsi="Times New Roman" w:cs="Times New Roman"/>
          <w:sz w:val="24"/>
          <w:szCs w:val="24"/>
        </w:rPr>
        <w:t>Moreover, s</w:t>
      </w:r>
      <w:r w:rsidR="00F35223" w:rsidRPr="00762CFC">
        <w:rPr>
          <w:rFonts w:ascii="Times New Roman" w:hAnsi="Times New Roman" w:cs="Times New Roman"/>
          <w:sz w:val="24"/>
          <w:szCs w:val="24"/>
        </w:rPr>
        <w:t>ometimes</w:t>
      </w:r>
      <w:r w:rsidRPr="00762CFC">
        <w:rPr>
          <w:rFonts w:ascii="Times New Roman" w:hAnsi="Times New Roman" w:cs="Times New Roman"/>
          <w:sz w:val="24"/>
          <w:szCs w:val="24"/>
        </w:rPr>
        <w:t>,</w:t>
      </w:r>
      <w:r w:rsidR="00F35223" w:rsidRPr="00762CFC">
        <w:rPr>
          <w:rFonts w:ascii="Times New Roman" w:hAnsi="Times New Roman" w:cs="Times New Roman"/>
          <w:sz w:val="24"/>
          <w:szCs w:val="24"/>
        </w:rPr>
        <w:t xml:space="preserve"> an easement appearing on the title commitment does not affect the property and the surveyor will be able to determine this and the attorney can then request deletion from the title commitment. As mentioned above, in connection with encroachments of improvements onto a property or over a property line, the easement areas should also be carefully followed  for encroachments lying within them.  In connection with title insurance </w:t>
      </w:r>
      <w:r w:rsidR="00F35223" w:rsidRPr="00762CFC">
        <w:rPr>
          <w:rFonts w:ascii="Times New Roman" w:hAnsi="Times New Roman" w:cs="Times New Roman"/>
          <w:sz w:val="24"/>
          <w:szCs w:val="24"/>
        </w:rPr>
        <w:lastRenderedPageBreak/>
        <w:t>matters, some encroachments are not extremely risky or would be inexpensive to remove and a title company is likely to insure over them.  However, more permanent items, such as a swimming pool lying in the middle of a utility easement crossing the property would be another matter and likely need more significant measures to deal with removing them.</w:t>
      </w:r>
    </w:p>
    <w:p w:rsidR="00DB5AF5" w:rsidRPr="00762CFC" w:rsidRDefault="00D17D6F" w:rsidP="002B3299">
      <w:pPr>
        <w:autoSpaceDE w:val="0"/>
        <w:autoSpaceDN w:val="0"/>
        <w:adjustRightInd w:val="0"/>
        <w:spacing w:after="0" w:line="360" w:lineRule="auto"/>
        <w:jc w:val="both"/>
        <w:rPr>
          <w:rFonts w:ascii="Times New Roman" w:hAnsi="Times New Roman" w:cs="Times New Roman"/>
          <w:b/>
          <w:sz w:val="24"/>
          <w:szCs w:val="24"/>
        </w:rPr>
      </w:pPr>
      <w:r w:rsidRPr="00762CFC">
        <w:rPr>
          <w:rFonts w:ascii="Times New Roman" w:hAnsi="Times New Roman" w:cs="Times New Roman"/>
          <w:b/>
          <w:sz w:val="24"/>
          <w:szCs w:val="24"/>
        </w:rPr>
        <w:t>V.</w:t>
      </w:r>
      <w:r w:rsidRPr="00762CFC">
        <w:rPr>
          <w:rFonts w:ascii="Times New Roman" w:hAnsi="Times New Roman" w:cs="Times New Roman"/>
          <w:b/>
          <w:sz w:val="24"/>
          <w:szCs w:val="24"/>
        </w:rPr>
        <w:tab/>
      </w:r>
      <w:r w:rsidR="00DB5AF5" w:rsidRPr="00762CFC">
        <w:rPr>
          <w:rFonts w:ascii="Times New Roman" w:hAnsi="Times New Roman" w:cs="Times New Roman"/>
          <w:b/>
          <w:sz w:val="24"/>
          <w:szCs w:val="24"/>
        </w:rPr>
        <w:t>Curative Instruments</w:t>
      </w:r>
    </w:p>
    <w:p w:rsidR="00A2368E" w:rsidRPr="00762CFC" w:rsidRDefault="00A2368E" w:rsidP="00A2368E">
      <w:pPr>
        <w:autoSpaceDE w:val="0"/>
        <w:autoSpaceDN w:val="0"/>
        <w:adjustRightInd w:val="0"/>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In some instances, a lawyer may have options other than instituting a full blown quiet title action in order to clarify ownership or right to a certain piece of real property.  Consider the following options:</w:t>
      </w:r>
    </w:p>
    <w:p w:rsidR="00DB5AF5" w:rsidRPr="00762CFC" w:rsidRDefault="00DB5AF5" w:rsidP="002B3299">
      <w:pPr>
        <w:numPr>
          <w:ilvl w:val="0"/>
          <w:numId w:val="9"/>
        </w:numPr>
        <w:autoSpaceDE w:val="0"/>
        <w:autoSpaceDN w:val="0"/>
        <w:adjustRightInd w:val="0"/>
        <w:spacing w:after="0" w:line="360" w:lineRule="auto"/>
        <w:ind w:hanging="720"/>
        <w:jc w:val="both"/>
        <w:rPr>
          <w:rFonts w:ascii="Times New Roman" w:hAnsi="Times New Roman" w:cs="Times New Roman"/>
          <w:sz w:val="24"/>
          <w:szCs w:val="24"/>
        </w:rPr>
      </w:pPr>
      <w:r w:rsidRPr="00762CFC">
        <w:rPr>
          <w:rFonts w:ascii="Times New Roman" w:hAnsi="Times New Roman" w:cs="Times New Roman"/>
          <w:sz w:val="24"/>
          <w:szCs w:val="24"/>
        </w:rPr>
        <w:t>Rental Division Order</w:t>
      </w:r>
    </w:p>
    <w:p w:rsidR="00DB5AF5" w:rsidRPr="00762CFC" w:rsidRDefault="00DB5AF5" w:rsidP="002B3299">
      <w:pPr>
        <w:autoSpaceDE w:val="0"/>
        <w:autoSpaceDN w:val="0"/>
        <w:adjustRightInd w:val="0"/>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Used to clarify undivided ownership and/or direct allocation of bonus, or and rental income in a manner other than equally.</w:t>
      </w:r>
    </w:p>
    <w:p w:rsidR="00DB5AF5" w:rsidRPr="00762CFC" w:rsidRDefault="00DB5AF5" w:rsidP="002B3299">
      <w:pPr>
        <w:numPr>
          <w:ilvl w:val="0"/>
          <w:numId w:val="9"/>
        </w:numPr>
        <w:autoSpaceDE w:val="0"/>
        <w:autoSpaceDN w:val="0"/>
        <w:adjustRightInd w:val="0"/>
        <w:spacing w:after="0" w:line="360" w:lineRule="auto"/>
        <w:ind w:left="0" w:firstLine="720"/>
        <w:jc w:val="both"/>
        <w:rPr>
          <w:rFonts w:ascii="Times New Roman" w:hAnsi="Times New Roman" w:cs="Times New Roman"/>
          <w:sz w:val="24"/>
          <w:szCs w:val="24"/>
        </w:rPr>
      </w:pPr>
      <w:r w:rsidRPr="00762CFC">
        <w:rPr>
          <w:rFonts w:ascii="Times New Roman" w:hAnsi="Times New Roman" w:cs="Times New Roman"/>
          <w:sz w:val="24"/>
          <w:szCs w:val="24"/>
        </w:rPr>
        <w:t>Lease Ratification.</w:t>
      </w:r>
    </w:p>
    <w:p w:rsidR="00DB5AF5" w:rsidRPr="00762CFC" w:rsidRDefault="00DB5AF5" w:rsidP="002B3299">
      <w:pPr>
        <w:autoSpaceDE w:val="0"/>
        <w:autoSpaceDN w:val="0"/>
        <w:adjustRightInd w:val="0"/>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Ratifications evidence that a party in interest by title, grant of authority, or act of law confirms and adopts the specific act of  another party in interest without altering the terms of the original act. (e.g., Execution of an oil and gas lease, mortgage, assignment,</w:t>
      </w:r>
    </w:p>
    <w:p w:rsidR="00DB5AF5" w:rsidRPr="00762CFC" w:rsidRDefault="00DB5AF5" w:rsidP="002B3299">
      <w:pPr>
        <w:autoSpaceDE w:val="0"/>
        <w:autoSpaceDN w:val="0"/>
        <w:adjustRightInd w:val="0"/>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etc.) Most notably used for NPRIs (non-participating royalty owners) so they are bound by lease pooling provision.</w:t>
      </w:r>
    </w:p>
    <w:p w:rsidR="00DB5AF5" w:rsidRPr="00762CFC" w:rsidRDefault="00DB5AF5" w:rsidP="002B3299">
      <w:pPr>
        <w:numPr>
          <w:ilvl w:val="0"/>
          <w:numId w:val="9"/>
        </w:numPr>
        <w:autoSpaceDE w:val="0"/>
        <w:autoSpaceDN w:val="0"/>
        <w:adjustRightInd w:val="0"/>
        <w:spacing w:after="0" w:line="360" w:lineRule="auto"/>
        <w:ind w:hanging="720"/>
        <w:jc w:val="both"/>
        <w:rPr>
          <w:rFonts w:ascii="Times New Roman" w:hAnsi="Times New Roman" w:cs="Times New Roman"/>
          <w:sz w:val="24"/>
          <w:szCs w:val="24"/>
        </w:rPr>
      </w:pPr>
      <w:r w:rsidRPr="00762CFC">
        <w:rPr>
          <w:rFonts w:ascii="Times New Roman" w:hAnsi="Times New Roman" w:cs="Times New Roman"/>
          <w:sz w:val="24"/>
          <w:szCs w:val="24"/>
        </w:rPr>
        <w:t>Lease Amendments</w:t>
      </w:r>
    </w:p>
    <w:p w:rsidR="00DB5AF5" w:rsidRPr="00762CFC" w:rsidRDefault="00DB5AF5" w:rsidP="002B3299">
      <w:pPr>
        <w:autoSpaceDE w:val="0"/>
        <w:autoSpaceDN w:val="0"/>
        <w:adjustRightInd w:val="0"/>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The lease contains a drafting error, or a proper provision is omitted. Terms, description, etc. If the legal description does not adequately identify the land covered by the lease with reasonable certainty, the lease is VOID from inception.</w:t>
      </w:r>
    </w:p>
    <w:p w:rsidR="00DB5AF5" w:rsidRPr="00762CFC" w:rsidRDefault="00DB5AF5" w:rsidP="002B3299">
      <w:pPr>
        <w:numPr>
          <w:ilvl w:val="0"/>
          <w:numId w:val="9"/>
        </w:numPr>
        <w:autoSpaceDE w:val="0"/>
        <w:autoSpaceDN w:val="0"/>
        <w:adjustRightInd w:val="0"/>
        <w:spacing w:after="0" w:line="360" w:lineRule="auto"/>
        <w:ind w:hanging="720"/>
        <w:jc w:val="both"/>
        <w:rPr>
          <w:rFonts w:ascii="Times New Roman" w:hAnsi="Times New Roman" w:cs="Times New Roman"/>
          <w:sz w:val="24"/>
          <w:szCs w:val="24"/>
        </w:rPr>
      </w:pPr>
      <w:r w:rsidRPr="00762CFC">
        <w:rPr>
          <w:rFonts w:ascii="Times New Roman" w:hAnsi="Times New Roman" w:cs="Times New Roman"/>
          <w:sz w:val="24"/>
          <w:szCs w:val="24"/>
        </w:rPr>
        <w:t>Lease Amendments - Extension of Primary Term</w:t>
      </w:r>
    </w:p>
    <w:p w:rsidR="00DB5AF5" w:rsidRPr="00762CFC" w:rsidRDefault="00DB5AF5" w:rsidP="002B3299">
      <w:pPr>
        <w:autoSpaceDE w:val="0"/>
        <w:autoSpaceDN w:val="0"/>
        <w:adjustRightInd w:val="0"/>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If the lease does not contain an Option to extend, the Lessee has the option to pay a bonus to extend the primary term. However, there are times when the secondary term of a lease might be questionable. In these instances an Affidavit might be negotiated and filed to provide notice that both parties agree the primary lease has been extended.</w:t>
      </w:r>
    </w:p>
    <w:p w:rsidR="00DB5AF5" w:rsidRPr="00762CFC" w:rsidRDefault="00DB5AF5" w:rsidP="002B3299">
      <w:pPr>
        <w:numPr>
          <w:ilvl w:val="0"/>
          <w:numId w:val="9"/>
        </w:numPr>
        <w:autoSpaceDE w:val="0"/>
        <w:autoSpaceDN w:val="0"/>
        <w:adjustRightInd w:val="0"/>
        <w:spacing w:after="0" w:line="360" w:lineRule="auto"/>
        <w:ind w:hanging="720"/>
        <w:jc w:val="both"/>
        <w:rPr>
          <w:rFonts w:ascii="Times New Roman" w:hAnsi="Times New Roman" w:cs="Times New Roman"/>
          <w:sz w:val="24"/>
          <w:szCs w:val="24"/>
        </w:rPr>
      </w:pPr>
      <w:r w:rsidRPr="00762CFC">
        <w:rPr>
          <w:rFonts w:ascii="Times New Roman" w:hAnsi="Times New Roman" w:cs="Times New Roman"/>
          <w:sz w:val="24"/>
          <w:szCs w:val="24"/>
        </w:rPr>
        <w:t>Release of Lien, or Deed of Trust</w:t>
      </w:r>
    </w:p>
    <w:p w:rsidR="00DB5AF5" w:rsidRPr="00762CFC" w:rsidRDefault="00DB5AF5" w:rsidP="002B3299">
      <w:pPr>
        <w:autoSpaceDE w:val="0"/>
        <w:autoSpaceDN w:val="0"/>
        <w:adjustRightInd w:val="0"/>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A lien, or deed of trust is a claim on the property that can be exercised upon the default of the first party. Oftentimes a release, or partial release is filed if the lease is conveyed, in whole, or part, and the lease is subject to a mortgage.</w:t>
      </w:r>
    </w:p>
    <w:p w:rsidR="00DB5AF5" w:rsidRPr="00762CFC" w:rsidRDefault="00DB5AF5" w:rsidP="002B3299">
      <w:pPr>
        <w:numPr>
          <w:ilvl w:val="0"/>
          <w:numId w:val="9"/>
        </w:numPr>
        <w:autoSpaceDE w:val="0"/>
        <w:autoSpaceDN w:val="0"/>
        <w:adjustRightInd w:val="0"/>
        <w:spacing w:after="0" w:line="360" w:lineRule="auto"/>
        <w:ind w:hanging="720"/>
        <w:jc w:val="both"/>
        <w:rPr>
          <w:rFonts w:ascii="Times New Roman" w:hAnsi="Times New Roman" w:cs="Times New Roman"/>
          <w:sz w:val="24"/>
          <w:szCs w:val="24"/>
        </w:rPr>
      </w:pPr>
      <w:r w:rsidRPr="00762CFC">
        <w:rPr>
          <w:rFonts w:ascii="Times New Roman" w:hAnsi="Times New Roman" w:cs="Times New Roman"/>
          <w:sz w:val="24"/>
          <w:szCs w:val="24"/>
        </w:rPr>
        <w:t>Subordination Agreement</w:t>
      </w:r>
    </w:p>
    <w:p w:rsidR="00DB5AF5" w:rsidRPr="00762CFC" w:rsidRDefault="00DB5AF5" w:rsidP="002B3299">
      <w:pPr>
        <w:autoSpaceDE w:val="0"/>
        <w:autoSpaceDN w:val="0"/>
        <w:adjustRightInd w:val="0"/>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lastRenderedPageBreak/>
        <w:t>A subordination agreement is used to place parties on notice that an agreement (usually a lease agreement) takes precedence over another agreement. For example, a mortgage agreement. If a mortgage is filed against the surface owner who is also the mineral owner, in the event of loan default, the mortgagee could claim the oil and gas lease was taken after the mortgage and, therefore null and void.</w:t>
      </w:r>
    </w:p>
    <w:p w:rsidR="00DB5AF5" w:rsidRPr="00762CFC" w:rsidRDefault="00DB5AF5" w:rsidP="002B3299">
      <w:pPr>
        <w:numPr>
          <w:ilvl w:val="0"/>
          <w:numId w:val="9"/>
        </w:numPr>
        <w:autoSpaceDE w:val="0"/>
        <w:autoSpaceDN w:val="0"/>
        <w:adjustRightInd w:val="0"/>
        <w:spacing w:after="0" w:line="360" w:lineRule="auto"/>
        <w:ind w:hanging="720"/>
        <w:jc w:val="both"/>
        <w:rPr>
          <w:rFonts w:ascii="Times New Roman" w:hAnsi="Times New Roman" w:cs="Times New Roman"/>
          <w:sz w:val="24"/>
          <w:szCs w:val="24"/>
        </w:rPr>
      </w:pPr>
      <w:r w:rsidRPr="00762CFC">
        <w:rPr>
          <w:rFonts w:ascii="Times New Roman" w:hAnsi="Times New Roman" w:cs="Times New Roman"/>
          <w:sz w:val="24"/>
          <w:szCs w:val="24"/>
        </w:rPr>
        <w:t>Quitclaim Deed</w:t>
      </w:r>
    </w:p>
    <w:p w:rsidR="00DB5AF5" w:rsidRPr="00762CFC" w:rsidRDefault="00DB5AF5" w:rsidP="002B3299">
      <w:pPr>
        <w:autoSpaceDE w:val="0"/>
        <w:autoSpaceDN w:val="0"/>
        <w:adjustRightInd w:val="0"/>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A Quit</w:t>
      </w:r>
      <w:r w:rsidRPr="00762CFC">
        <w:rPr>
          <w:rFonts w:ascii="Cambria Math" w:hAnsi="Cambria Math" w:cs="Cambria Math"/>
          <w:sz w:val="24"/>
          <w:szCs w:val="24"/>
        </w:rPr>
        <w:t>‐</w:t>
      </w:r>
      <w:r w:rsidRPr="00762CFC">
        <w:rPr>
          <w:rFonts w:ascii="Times New Roman" w:hAnsi="Times New Roman" w:cs="Times New Roman"/>
          <w:sz w:val="24"/>
          <w:szCs w:val="24"/>
        </w:rPr>
        <w:t xml:space="preserve">Claim Deed is used to disclaim title to interests that may or may not exist or to confirm or repair title when ambiguities exist as a result of prior conveyances. This is a curative instrument. </w:t>
      </w:r>
    </w:p>
    <w:p w:rsidR="00DB5AF5" w:rsidRPr="00762CFC" w:rsidRDefault="00DB5AF5" w:rsidP="002B3299">
      <w:pPr>
        <w:numPr>
          <w:ilvl w:val="0"/>
          <w:numId w:val="9"/>
        </w:numPr>
        <w:autoSpaceDE w:val="0"/>
        <w:autoSpaceDN w:val="0"/>
        <w:adjustRightInd w:val="0"/>
        <w:spacing w:after="0" w:line="360" w:lineRule="auto"/>
        <w:ind w:hanging="720"/>
        <w:jc w:val="both"/>
        <w:rPr>
          <w:rFonts w:ascii="Times New Roman" w:hAnsi="Times New Roman" w:cs="Times New Roman"/>
          <w:sz w:val="24"/>
          <w:szCs w:val="24"/>
        </w:rPr>
      </w:pPr>
      <w:r w:rsidRPr="00762CFC">
        <w:rPr>
          <w:rFonts w:ascii="Times New Roman" w:hAnsi="Times New Roman" w:cs="Times New Roman"/>
          <w:sz w:val="24"/>
          <w:szCs w:val="24"/>
        </w:rPr>
        <w:t>Affidavit of Joint Tenancy</w:t>
      </w:r>
    </w:p>
    <w:p w:rsidR="00DB5AF5" w:rsidRPr="00762CFC" w:rsidRDefault="00DB5AF5" w:rsidP="002B3299">
      <w:pPr>
        <w:autoSpaceDE w:val="0"/>
        <w:autoSpaceDN w:val="0"/>
        <w:adjustRightInd w:val="0"/>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 xml:space="preserve">Affirms the existence of a joint tenancy at the time of death of one of the joint tenants and evidences the passing of the interest of the joint tenant by operation of death. </w:t>
      </w:r>
    </w:p>
    <w:p w:rsidR="00DB5AF5" w:rsidRPr="00762CFC" w:rsidRDefault="00DB5AF5" w:rsidP="002B3299">
      <w:pPr>
        <w:numPr>
          <w:ilvl w:val="0"/>
          <w:numId w:val="9"/>
        </w:numPr>
        <w:autoSpaceDE w:val="0"/>
        <w:autoSpaceDN w:val="0"/>
        <w:adjustRightInd w:val="0"/>
        <w:spacing w:after="0" w:line="360" w:lineRule="auto"/>
        <w:ind w:hanging="720"/>
        <w:jc w:val="both"/>
        <w:rPr>
          <w:rFonts w:ascii="Times New Roman" w:hAnsi="Times New Roman" w:cs="Times New Roman"/>
          <w:sz w:val="24"/>
          <w:szCs w:val="24"/>
        </w:rPr>
      </w:pPr>
      <w:r w:rsidRPr="00762CFC">
        <w:rPr>
          <w:rFonts w:ascii="Times New Roman" w:hAnsi="Times New Roman" w:cs="Times New Roman"/>
          <w:sz w:val="24"/>
          <w:szCs w:val="24"/>
        </w:rPr>
        <w:t>Affidavit of Identity</w:t>
      </w:r>
    </w:p>
    <w:p w:rsidR="00DB5AF5" w:rsidRPr="00762CFC" w:rsidRDefault="00DB5AF5" w:rsidP="002B3299">
      <w:pPr>
        <w:autoSpaceDE w:val="0"/>
        <w:autoSpaceDN w:val="0"/>
        <w:adjustRightInd w:val="0"/>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Corrects inconsistencies in a party’s name as it appears in the public record.</w:t>
      </w:r>
    </w:p>
    <w:p w:rsidR="00DB5AF5" w:rsidRPr="00762CFC" w:rsidRDefault="00DB5AF5" w:rsidP="002B3299">
      <w:pPr>
        <w:numPr>
          <w:ilvl w:val="0"/>
          <w:numId w:val="9"/>
        </w:numPr>
        <w:autoSpaceDE w:val="0"/>
        <w:autoSpaceDN w:val="0"/>
        <w:adjustRightInd w:val="0"/>
        <w:spacing w:after="0" w:line="360" w:lineRule="auto"/>
        <w:ind w:hanging="720"/>
        <w:jc w:val="both"/>
        <w:rPr>
          <w:rFonts w:ascii="Times New Roman" w:hAnsi="Times New Roman" w:cs="Times New Roman"/>
          <w:sz w:val="24"/>
          <w:szCs w:val="24"/>
        </w:rPr>
      </w:pPr>
      <w:r w:rsidRPr="00762CFC">
        <w:rPr>
          <w:rFonts w:ascii="Times New Roman" w:hAnsi="Times New Roman" w:cs="Times New Roman"/>
          <w:sz w:val="24"/>
          <w:szCs w:val="24"/>
        </w:rPr>
        <w:t>Affidavit of Heirship</w:t>
      </w:r>
    </w:p>
    <w:p w:rsidR="00DB5AF5" w:rsidRPr="00762CFC" w:rsidRDefault="00DB5AF5" w:rsidP="002B3299">
      <w:pPr>
        <w:autoSpaceDE w:val="0"/>
        <w:autoSpaceDN w:val="0"/>
        <w:adjustRightInd w:val="0"/>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Provides record notice that an interest is claimed to have been transferred by death to the putative heirs or devisees of a decedent without the benefit of probate. Affidavits of Heirship do not convey title.</w:t>
      </w:r>
    </w:p>
    <w:p w:rsidR="00DB5AF5" w:rsidRPr="00762CFC" w:rsidRDefault="00DB5AF5" w:rsidP="002B3299">
      <w:pPr>
        <w:numPr>
          <w:ilvl w:val="0"/>
          <w:numId w:val="9"/>
        </w:numPr>
        <w:autoSpaceDE w:val="0"/>
        <w:autoSpaceDN w:val="0"/>
        <w:adjustRightInd w:val="0"/>
        <w:spacing w:after="0" w:line="360" w:lineRule="auto"/>
        <w:ind w:hanging="720"/>
        <w:jc w:val="both"/>
        <w:rPr>
          <w:rFonts w:ascii="Times New Roman" w:hAnsi="Times New Roman" w:cs="Times New Roman"/>
          <w:sz w:val="24"/>
          <w:szCs w:val="24"/>
        </w:rPr>
      </w:pPr>
      <w:r w:rsidRPr="00762CFC">
        <w:rPr>
          <w:rFonts w:ascii="Times New Roman" w:hAnsi="Times New Roman" w:cs="Times New Roman"/>
          <w:sz w:val="24"/>
          <w:szCs w:val="24"/>
        </w:rPr>
        <w:t>Affidavit of Adverse Possession</w:t>
      </w:r>
    </w:p>
    <w:p w:rsidR="00DB5AF5" w:rsidRPr="00762CFC" w:rsidRDefault="00DB5AF5" w:rsidP="002B3299">
      <w:pPr>
        <w:autoSpaceDE w:val="0"/>
        <w:autoSpaceDN w:val="0"/>
        <w:adjustRightInd w:val="0"/>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Identifies party in possession of the land and states the duration and nature of use. Claims open, notorious and continuous possession</w:t>
      </w:r>
    </w:p>
    <w:p w:rsidR="00DB5AF5" w:rsidRPr="00762CFC" w:rsidRDefault="00DB5AF5" w:rsidP="002B3299">
      <w:pPr>
        <w:numPr>
          <w:ilvl w:val="0"/>
          <w:numId w:val="9"/>
        </w:numPr>
        <w:autoSpaceDE w:val="0"/>
        <w:autoSpaceDN w:val="0"/>
        <w:adjustRightInd w:val="0"/>
        <w:spacing w:after="0" w:line="360" w:lineRule="auto"/>
        <w:ind w:hanging="720"/>
        <w:jc w:val="both"/>
        <w:rPr>
          <w:rFonts w:ascii="Times New Roman" w:hAnsi="Times New Roman" w:cs="Times New Roman"/>
          <w:sz w:val="24"/>
          <w:szCs w:val="24"/>
        </w:rPr>
      </w:pPr>
      <w:r w:rsidRPr="00762CFC">
        <w:rPr>
          <w:rFonts w:ascii="Times New Roman" w:hAnsi="Times New Roman" w:cs="Times New Roman"/>
          <w:sz w:val="24"/>
          <w:szCs w:val="24"/>
        </w:rPr>
        <w:t>Affidavit of Use and Possession</w:t>
      </w:r>
    </w:p>
    <w:p w:rsidR="00A2368E" w:rsidRPr="00762CFC" w:rsidRDefault="00DB5AF5" w:rsidP="00A2368E">
      <w:pPr>
        <w:autoSpaceDE w:val="0"/>
        <w:autoSpaceDN w:val="0"/>
        <w:adjustRightInd w:val="0"/>
        <w:spacing w:after="0" w:line="360" w:lineRule="auto"/>
        <w:ind w:firstLine="720"/>
        <w:jc w:val="both"/>
        <w:rPr>
          <w:rFonts w:ascii="Times New Roman" w:hAnsi="Times New Roman" w:cs="Times New Roman"/>
          <w:sz w:val="24"/>
          <w:szCs w:val="24"/>
        </w:rPr>
      </w:pPr>
      <w:r w:rsidRPr="00762CFC">
        <w:rPr>
          <w:rFonts w:ascii="Times New Roman" w:hAnsi="Times New Roman" w:cs="Times New Roman"/>
          <w:sz w:val="24"/>
          <w:szCs w:val="24"/>
        </w:rPr>
        <w:t>Avoid claims of adverse possession. Recites history of land and identifies all parties in possession and their nature and duration of use.</w:t>
      </w:r>
    </w:p>
    <w:p w:rsidR="0084431E" w:rsidRPr="00762CFC" w:rsidRDefault="00A2368E" w:rsidP="00A2368E">
      <w:pPr>
        <w:autoSpaceDE w:val="0"/>
        <w:autoSpaceDN w:val="0"/>
        <w:adjustRightInd w:val="0"/>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Based on the facts of the case, any of these curative instruments might be more appropriate, and, frankly, less time consuming that engaging in full litigation.</w:t>
      </w:r>
      <w:r w:rsidR="0084431E" w:rsidRPr="00762CFC">
        <w:rPr>
          <w:rFonts w:ascii="Times New Roman" w:hAnsi="Times New Roman" w:cs="Times New Roman"/>
          <w:sz w:val="24"/>
          <w:szCs w:val="24"/>
        </w:rPr>
        <w:t xml:space="preserve">  The desirability and practicality of these curative solutions will, of course, depend on the facts of your case and the goal which your client is seeking to obtain. </w:t>
      </w:r>
    </w:p>
    <w:p w:rsidR="0084431E" w:rsidRPr="00762CFC" w:rsidRDefault="00543A59" w:rsidP="00A2368E">
      <w:pPr>
        <w:autoSpaceDE w:val="0"/>
        <w:autoSpaceDN w:val="0"/>
        <w:adjustRightInd w:val="0"/>
        <w:spacing w:after="0" w:line="360" w:lineRule="auto"/>
        <w:jc w:val="both"/>
        <w:rPr>
          <w:rFonts w:ascii="Times New Roman" w:hAnsi="Times New Roman" w:cs="Times New Roman"/>
          <w:b/>
          <w:sz w:val="24"/>
          <w:szCs w:val="24"/>
        </w:rPr>
      </w:pPr>
      <w:r w:rsidRPr="00762CFC">
        <w:rPr>
          <w:rFonts w:ascii="Times New Roman" w:hAnsi="Times New Roman" w:cs="Times New Roman"/>
          <w:b/>
          <w:sz w:val="24"/>
          <w:szCs w:val="24"/>
        </w:rPr>
        <w:t>VI.</w:t>
      </w:r>
      <w:r w:rsidRPr="00762CFC">
        <w:rPr>
          <w:rFonts w:ascii="Times New Roman" w:hAnsi="Times New Roman" w:cs="Times New Roman"/>
          <w:b/>
          <w:sz w:val="24"/>
          <w:szCs w:val="24"/>
        </w:rPr>
        <w:tab/>
        <w:t>Taking the Case</w:t>
      </w:r>
    </w:p>
    <w:p w:rsidR="00543A59" w:rsidRPr="00762CFC" w:rsidRDefault="00543A59" w:rsidP="00A2368E">
      <w:pPr>
        <w:autoSpaceDE w:val="0"/>
        <w:autoSpaceDN w:val="0"/>
        <w:adjustRightInd w:val="0"/>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ab/>
        <w:t xml:space="preserve">Practitioners must keep in mind that, unlike many other types of civil claims, a quiet title claimant can only succeed on the relative strength of his own claims and not on the weaknesses </w:t>
      </w:r>
      <w:r w:rsidRPr="00762CFC">
        <w:rPr>
          <w:rFonts w:ascii="Times New Roman" w:hAnsi="Times New Roman" w:cs="Times New Roman"/>
          <w:sz w:val="24"/>
          <w:szCs w:val="24"/>
        </w:rPr>
        <w:lastRenderedPageBreak/>
        <w:t xml:space="preserve">of the defenses of others.  </w:t>
      </w:r>
      <w:r w:rsidR="00D07DB1" w:rsidRPr="00762CFC">
        <w:rPr>
          <w:rFonts w:ascii="Times New Roman" w:hAnsi="Times New Roman" w:cs="Times New Roman"/>
          <w:sz w:val="24"/>
          <w:szCs w:val="24"/>
        </w:rPr>
        <w:t>In almost every circumstance, the quiet title plaintiff keeps that burden throughout the lawsuit.  So, at a minimum, evaluating the merits of the new case includes:</w:t>
      </w:r>
    </w:p>
    <w:p w:rsidR="00D07DB1" w:rsidRPr="00762CFC" w:rsidRDefault="00D07DB1" w:rsidP="00D07DB1">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Strength of evidentiary support</w:t>
      </w:r>
      <w:r w:rsidR="00CC36B6" w:rsidRPr="00762CFC">
        <w:rPr>
          <w:rFonts w:ascii="Times New Roman" w:hAnsi="Times New Roman" w:cs="Times New Roman"/>
          <w:sz w:val="24"/>
          <w:szCs w:val="24"/>
        </w:rPr>
        <w:t>:</w:t>
      </w:r>
    </w:p>
    <w:p w:rsidR="00CC36B6" w:rsidRPr="00762CFC" w:rsidRDefault="00CC36B6" w:rsidP="00CC36B6">
      <w:pPr>
        <w:pStyle w:val="ListParagraph"/>
        <w:numPr>
          <w:ilvl w:val="1"/>
          <w:numId w:val="9"/>
        </w:numPr>
        <w:autoSpaceDE w:val="0"/>
        <w:autoSpaceDN w:val="0"/>
        <w:adjustRightInd w:val="0"/>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Title exam results – often not available right away, title examination is  often a key to knowing whether a case stands a chance to be successful.  Most potential clients will not walk in your door with a 50-year title exam in hand; thus, establishing a good working relationship with a competent title examiner (for those who will not be doing their own exams) is an absolute necessity.</w:t>
      </w:r>
    </w:p>
    <w:p w:rsidR="00CC36B6" w:rsidRPr="00762CFC" w:rsidRDefault="00CC36B6" w:rsidP="00CC36B6">
      <w:pPr>
        <w:pStyle w:val="ListParagraph"/>
        <w:numPr>
          <w:ilvl w:val="1"/>
          <w:numId w:val="9"/>
        </w:numPr>
        <w:autoSpaceDE w:val="0"/>
        <w:autoSpaceDN w:val="0"/>
        <w:adjustRightInd w:val="0"/>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Conflicting Documents</w:t>
      </w:r>
      <w:r w:rsidR="00405404" w:rsidRPr="00762CFC">
        <w:rPr>
          <w:rFonts w:ascii="Times New Roman" w:hAnsi="Times New Roman" w:cs="Times New Roman"/>
          <w:sz w:val="24"/>
          <w:szCs w:val="24"/>
        </w:rPr>
        <w:t xml:space="preserve"> – What do the defendant or defendants have in hand that has led to this dispute?  Getting cooperation early on from opposing counsel or pro se litigants to turn over documents is important in evaluating the potential strength of your client’s claims.</w:t>
      </w:r>
    </w:p>
    <w:p w:rsidR="00405404" w:rsidRPr="00762CFC" w:rsidRDefault="00A76087" w:rsidP="00A76087">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In Rem or Quasi-in-Rem? – Understand the difference between the two procedurally and which track suits your facts and your client’s goals the best.</w:t>
      </w:r>
    </w:p>
    <w:p w:rsidR="00A76087" w:rsidRPr="00762CFC" w:rsidRDefault="00A76087" w:rsidP="00A76087">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Time Horizon – Is the</w:t>
      </w:r>
      <w:r w:rsidR="007C3BEC" w:rsidRPr="00762CFC">
        <w:rPr>
          <w:rFonts w:ascii="Times New Roman" w:hAnsi="Times New Roman" w:cs="Times New Roman"/>
          <w:sz w:val="24"/>
          <w:szCs w:val="24"/>
        </w:rPr>
        <w:t xml:space="preserve"> Property facing an immediate threat of irreparable harm?  </w:t>
      </w:r>
      <w:r w:rsidRPr="00762CFC">
        <w:rPr>
          <w:rFonts w:ascii="Times New Roman" w:hAnsi="Times New Roman" w:cs="Times New Roman"/>
          <w:sz w:val="24"/>
          <w:szCs w:val="24"/>
        </w:rPr>
        <w:t xml:space="preserve"> </w:t>
      </w:r>
      <w:r w:rsidR="007C3BEC" w:rsidRPr="00762CFC">
        <w:rPr>
          <w:rFonts w:ascii="Times New Roman" w:hAnsi="Times New Roman" w:cs="Times New Roman"/>
          <w:sz w:val="24"/>
          <w:szCs w:val="24"/>
        </w:rPr>
        <w:t xml:space="preserve">Do not assume that you can get all the </w:t>
      </w:r>
      <w:r w:rsidR="004849A3" w:rsidRPr="00762CFC">
        <w:rPr>
          <w:rFonts w:ascii="Times New Roman" w:hAnsi="Times New Roman" w:cs="Times New Roman"/>
          <w:sz w:val="24"/>
          <w:szCs w:val="24"/>
        </w:rPr>
        <w:t xml:space="preserve">potential </w:t>
      </w:r>
      <w:r w:rsidR="007C3BEC" w:rsidRPr="00762CFC">
        <w:rPr>
          <w:rFonts w:ascii="Times New Roman" w:hAnsi="Times New Roman" w:cs="Times New Roman"/>
          <w:sz w:val="24"/>
          <w:szCs w:val="24"/>
        </w:rPr>
        <w:t>problems straightened out with your quiet title action.  The necessity/propriety of obtaining temporary and/or interlocutory injunctive relief should be considered in every situation.</w:t>
      </w:r>
      <w:r w:rsidR="00CE2D92" w:rsidRPr="00762CFC">
        <w:rPr>
          <w:rFonts w:ascii="Times New Roman" w:hAnsi="Times New Roman" w:cs="Times New Roman"/>
          <w:sz w:val="24"/>
          <w:szCs w:val="24"/>
        </w:rPr>
        <w:t xml:space="preserve">  Principles of equity will apply</w:t>
      </w:r>
      <w:r w:rsidR="004849A3" w:rsidRPr="00762CFC">
        <w:rPr>
          <w:rFonts w:ascii="Times New Roman" w:hAnsi="Times New Roman" w:cs="Times New Roman"/>
          <w:sz w:val="24"/>
          <w:szCs w:val="24"/>
        </w:rPr>
        <w:t xml:space="preserve"> to your case</w:t>
      </w:r>
      <w:r w:rsidR="00CE2D92" w:rsidRPr="00762CFC">
        <w:rPr>
          <w:rFonts w:ascii="Times New Roman" w:hAnsi="Times New Roman" w:cs="Times New Roman"/>
          <w:sz w:val="24"/>
          <w:szCs w:val="24"/>
        </w:rPr>
        <w:t xml:space="preserve">, and allowing the defendants to proceed with construction, etc. is going to make your </w:t>
      </w:r>
      <w:r w:rsidR="004849A3" w:rsidRPr="00762CFC">
        <w:rPr>
          <w:rFonts w:ascii="Times New Roman" w:hAnsi="Times New Roman" w:cs="Times New Roman"/>
          <w:sz w:val="24"/>
          <w:szCs w:val="24"/>
        </w:rPr>
        <w:t xml:space="preserve">life </w:t>
      </w:r>
      <w:r w:rsidR="00CE2D92" w:rsidRPr="00762CFC">
        <w:rPr>
          <w:rFonts w:ascii="Times New Roman" w:hAnsi="Times New Roman" w:cs="Times New Roman"/>
          <w:sz w:val="24"/>
          <w:szCs w:val="24"/>
        </w:rPr>
        <w:t xml:space="preserve">much harder </w:t>
      </w:r>
      <w:r w:rsidR="004849A3" w:rsidRPr="00762CFC">
        <w:rPr>
          <w:rFonts w:ascii="Times New Roman" w:hAnsi="Times New Roman" w:cs="Times New Roman"/>
          <w:sz w:val="24"/>
          <w:szCs w:val="24"/>
        </w:rPr>
        <w:t>in</w:t>
      </w:r>
      <w:r w:rsidR="00CE2D92" w:rsidRPr="00762CFC">
        <w:rPr>
          <w:rFonts w:ascii="Times New Roman" w:hAnsi="Times New Roman" w:cs="Times New Roman"/>
          <w:sz w:val="24"/>
          <w:szCs w:val="24"/>
        </w:rPr>
        <w:t xml:space="preserve"> the long run.</w:t>
      </w:r>
    </w:p>
    <w:p w:rsidR="00CE2D92" w:rsidRPr="00762CFC" w:rsidRDefault="00CE2D92" w:rsidP="00A76087">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762CFC">
        <w:rPr>
          <w:rFonts w:ascii="Times New Roman" w:hAnsi="Times New Roman" w:cs="Times New Roman"/>
          <w:sz w:val="24"/>
          <w:szCs w:val="24"/>
        </w:rPr>
        <w:t xml:space="preserve">Budgetary Constraints – Quiet title actions may (or may not) be good candidates for flat fees or hybrid fee structures.  </w:t>
      </w:r>
      <w:r w:rsidR="00AD297E" w:rsidRPr="00762CFC">
        <w:rPr>
          <w:rFonts w:ascii="Times New Roman" w:hAnsi="Times New Roman" w:cs="Times New Roman"/>
          <w:sz w:val="24"/>
          <w:szCs w:val="24"/>
        </w:rPr>
        <w:t>But, be sure to c</w:t>
      </w:r>
      <w:r w:rsidRPr="00762CFC">
        <w:rPr>
          <w:rFonts w:ascii="Times New Roman" w:hAnsi="Times New Roman" w:cs="Times New Roman"/>
          <w:sz w:val="24"/>
          <w:szCs w:val="24"/>
        </w:rPr>
        <w:t xml:space="preserve">onsider the nature of the dispute – adverse possession </w:t>
      </w:r>
      <w:r w:rsidR="00AD297E" w:rsidRPr="00762CFC">
        <w:rPr>
          <w:rFonts w:ascii="Times New Roman" w:hAnsi="Times New Roman" w:cs="Times New Roman"/>
          <w:sz w:val="24"/>
          <w:szCs w:val="24"/>
        </w:rPr>
        <w:t xml:space="preserve">disputes may </w:t>
      </w:r>
      <w:r w:rsidRPr="00762CFC">
        <w:rPr>
          <w:rFonts w:ascii="Times New Roman" w:hAnsi="Times New Roman" w:cs="Times New Roman"/>
          <w:sz w:val="24"/>
          <w:szCs w:val="24"/>
        </w:rPr>
        <w:t xml:space="preserve">require much more </w:t>
      </w:r>
      <w:r w:rsidR="00AD297E" w:rsidRPr="00762CFC">
        <w:rPr>
          <w:rFonts w:ascii="Times New Roman" w:hAnsi="Times New Roman" w:cs="Times New Roman"/>
          <w:sz w:val="24"/>
          <w:szCs w:val="24"/>
        </w:rPr>
        <w:t>intensive factual scrutiny and discovery (depositions, etc.) than a battle over, say, an alley agreement which everyone agrees is THE controlling document but f</w:t>
      </w:r>
      <w:r w:rsidR="00240751" w:rsidRPr="00762CFC">
        <w:rPr>
          <w:rFonts w:ascii="Times New Roman" w:hAnsi="Times New Roman" w:cs="Times New Roman"/>
          <w:sz w:val="24"/>
          <w:szCs w:val="24"/>
        </w:rPr>
        <w:t>or</w:t>
      </w:r>
      <w:r w:rsidR="00AD297E" w:rsidRPr="00762CFC">
        <w:rPr>
          <w:rFonts w:ascii="Times New Roman" w:hAnsi="Times New Roman" w:cs="Times New Roman"/>
          <w:sz w:val="24"/>
          <w:szCs w:val="24"/>
        </w:rPr>
        <w:t xml:space="preserve"> which no one can agree as to the proper interpretation of the language at issue.</w:t>
      </w:r>
    </w:p>
    <w:p w:rsidR="004849A3" w:rsidRPr="00762CFC" w:rsidRDefault="00807BA7" w:rsidP="00A76087">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C20FE1">
        <w:rPr>
          <w:rFonts w:ascii="Times New Roman" w:hAnsi="Times New Roman" w:cs="Times New Roman"/>
          <w:sz w:val="24"/>
          <w:szCs w:val="24"/>
        </w:rPr>
        <w:t>Special Master</w:t>
      </w:r>
      <w:r w:rsidR="004B7D22" w:rsidRPr="00C20FE1">
        <w:rPr>
          <w:rFonts w:ascii="Times New Roman" w:hAnsi="Times New Roman" w:cs="Times New Roman"/>
          <w:sz w:val="24"/>
          <w:szCs w:val="24"/>
        </w:rPr>
        <w:t xml:space="preserve"> or Jury?  See above for the discussion of the </w:t>
      </w:r>
      <w:r w:rsidR="004B7D22" w:rsidRPr="00C20FE1">
        <w:rPr>
          <w:rFonts w:ascii="Times New Roman" w:hAnsi="Times New Roman" w:cs="Times New Roman"/>
          <w:sz w:val="24"/>
          <w:szCs w:val="24"/>
          <w:u w:val="single"/>
        </w:rPr>
        <w:t xml:space="preserve">Johnson </w:t>
      </w:r>
      <w:r w:rsidR="004B7D22" w:rsidRPr="00C20FE1">
        <w:rPr>
          <w:rFonts w:ascii="Times New Roman" w:hAnsi="Times New Roman" w:cs="Times New Roman"/>
          <w:sz w:val="24"/>
          <w:szCs w:val="24"/>
        </w:rPr>
        <w:t>case and the relationship between special masters, jury trial requests, and summary judgment.  Do NOT be caught unaware of potential procedural issues in your case</w:t>
      </w:r>
      <w:r w:rsidRPr="00C20FE1">
        <w:rPr>
          <w:rFonts w:ascii="Times New Roman" w:hAnsi="Times New Roman" w:cs="Times New Roman"/>
          <w:sz w:val="24"/>
          <w:szCs w:val="24"/>
        </w:rPr>
        <w:t xml:space="preserve">, and, knowing your procedural choices </w:t>
      </w:r>
      <w:r w:rsidR="004B7D22" w:rsidRPr="00C20FE1">
        <w:rPr>
          <w:rFonts w:ascii="Times New Roman" w:hAnsi="Times New Roman" w:cs="Times New Roman"/>
          <w:sz w:val="24"/>
          <w:szCs w:val="24"/>
        </w:rPr>
        <w:t xml:space="preserve">likely will play a role in setting your client’s </w:t>
      </w:r>
      <w:r w:rsidR="004B7D22" w:rsidRPr="00C20FE1">
        <w:rPr>
          <w:rFonts w:ascii="Times New Roman" w:hAnsi="Times New Roman" w:cs="Times New Roman"/>
          <w:sz w:val="24"/>
          <w:szCs w:val="24"/>
        </w:rPr>
        <w:lastRenderedPageBreak/>
        <w:t xml:space="preserve">expectations on budgets, timing, and </w:t>
      </w:r>
      <w:r w:rsidRPr="00C20FE1">
        <w:rPr>
          <w:rFonts w:ascii="Times New Roman" w:hAnsi="Times New Roman" w:cs="Times New Roman"/>
          <w:sz w:val="24"/>
          <w:szCs w:val="24"/>
        </w:rPr>
        <w:t xml:space="preserve">the </w:t>
      </w:r>
      <w:r w:rsidR="004B7D22" w:rsidRPr="00C20FE1">
        <w:rPr>
          <w:rFonts w:ascii="Times New Roman" w:hAnsi="Times New Roman" w:cs="Times New Roman"/>
          <w:sz w:val="24"/>
          <w:szCs w:val="24"/>
        </w:rPr>
        <w:t xml:space="preserve">likelihood </w:t>
      </w:r>
      <w:r w:rsidRPr="00C20FE1">
        <w:rPr>
          <w:rFonts w:ascii="Times New Roman" w:hAnsi="Times New Roman" w:cs="Times New Roman"/>
          <w:sz w:val="24"/>
          <w:szCs w:val="24"/>
        </w:rPr>
        <w:t xml:space="preserve">of success, all of which will affect the desirability of taking on the new matter. </w:t>
      </w:r>
    </w:p>
    <w:sectPr w:rsidR="004849A3" w:rsidRPr="00762C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B4" w:rsidRDefault="00AF07B4" w:rsidP="00AF07B4">
      <w:pPr>
        <w:spacing w:after="0" w:line="240" w:lineRule="auto"/>
      </w:pPr>
      <w:r>
        <w:separator/>
      </w:r>
    </w:p>
  </w:endnote>
  <w:endnote w:type="continuationSeparator" w:id="0">
    <w:p w:rsidR="00AF07B4" w:rsidRDefault="00AF07B4" w:rsidP="00AF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3895"/>
      <w:docPartObj>
        <w:docPartGallery w:val="Page Numbers (Bottom of Page)"/>
        <w:docPartUnique/>
      </w:docPartObj>
    </w:sdtPr>
    <w:sdtEndPr>
      <w:rPr>
        <w:noProof/>
      </w:rPr>
    </w:sdtEndPr>
    <w:sdtContent>
      <w:p w:rsidR="00B91255" w:rsidRDefault="00B91255">
        <w:pPr>
          <w:pStyle w:val="Footer"/>
          <w:jc w:val="center"/>
        </w:pPr>
        <w:r>
          <w:fldChar w:fldCharType="begin"/>
        </w:r>
        <w:r>
          <w:instrText xml:space="preserve"> PAGE   \* MERGEFORMAT </w:instrText>
        </w:r>
        <w:r>
          <w:fldChar w:fldCharType="separate"/>
        </w:r>
        <w:r w:rsidR="00B7079A">
          <w:rPr>
            <w:noProof/>
          </w:rPr>
          <w:t>13</w:t>
        </w:r>
        <w:r>
          <w:rPr>
            <w:noProof/>
          </w:rPr>
          <w:fldChar w:fldCharType="end"/>
        </w:r>
      </w:p>
    </w:sdtContent>
  </w:sdt>
  <w:p w:rsidR="00AF07B4" w:rsidRPr="00AF07B4" w:rsidRDefault="00AF07B4" w:rsidP="00AF07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B4" w:rsidRDefault="00AF07B4" w:rsidP="00AF07B4">
      <w:pPr>
        <w:spacing w:after="0" w:line="240" w:lineRule="auto"/>
        <w:rPr>
          <w:noProof/>
        </w:rPr>
      </w:pPr>
      <w:r>
        <w:rPr>
          <w:noProof/>
        </w:rPr>
        <w:separator/>
      </w:r>
    </w:p>
  </w:footnote>
  <w:footnote w:type="continuationSeparator" w:id="0">
    <w:p w:rsidR="00AF07B4" w:rsidRDefault="00AF07B4" w:rsidP="00AF07B4">
      <w:pPr>
        <w:spacing w:after="0" w:line="240" w:lineRule="auto"/>
      </w:pPr>
      <w:r>
        <w:continuationSeparator/>
      </w:r>
    </w:p>
  </w:footnote>
  <w:footnote w:id="1">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The use of equitable causes of action, such as rescission or reformation, effectively to quiet title is outside the scope of this presentation. </w:t>
      </w:r>
    </w:p>
  </w:footnote>
  <w:footnote w:id="2">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O.C.G.A. § 23-3-40; </w:t>
      </w:r>
      <w:r w:rsidRPr="00207C70">
        <w:rPr>
          <w:sz w:val="24"/>
          <w:szCs w:val="24"/>
          <w:u w:val="single"/>
        </w:rPr>
        <w:t>Duffee v. Jones</w:t>
      </w:r>
      <w:r w:rsidRPr="00207C70">
        <w:rPr>
          <w:sz w:val="24"/>
          <w:szCs w:val="24"/>
        </w:rPr>
        <w:t>, 208 Ga. 639, 68 S.E.2d 699 (1952).</w:t>
      </w:r>
    </w:p>
  </w:footnote>
  <w:footnote w:id="3">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O.C.G.A. § 23-3-42.</w:t>
      </w:r>
    </w:p>
  </w:footnote>
  <w:footnote w:id="4">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O.C.G.A. § 23-3-41.</w:t>
      </w:r>
    </w:p>
  </w:footnote>
  <w:footnote w:id="5">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See</w:t>
      </w:r>
      <w:r w:rsidRPr="00207C70">
        <w:rPr>
          <w:sz w:val="24"/>
          <w:szCs w:val="24"/>
        </w:rPr>
        <w:t xml:space="preserve"> 25 </w:t>
      </w:r>
      <w:r w:rsidRPr="00207C70">
        <w:rPr>
          <w:i/>
          <w:sz w:val="24"/>
          <w:szCs w:val="24"/>
        </w:rPr>
        <w:t>Encyclopedia of Georgia Law, Quieting Title</w:t>
      </w:r>
      <w:r w:rsidRPr="00207C70">
        <w:rPr>
          <w:sz w:val="24"/>
          <w:szCs w:val="24"/>
        </w:rPr>
        <w:t>, § 3 (1986 Rev.)</w:t>
      </w:r>
      <w:r w:rsidR="006C49E4" w:rsidRPr="00207C70">
        <w:rPr>
          <w:sz w:val="24"/>
          <w:szCs w:val="24"/>
        </w:rPr>
        <w:t>.</w:t>
      </w:r>
    </w:p>
  </w:footnote>
  <w:footnote w:id="6">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Smith v. Georgia Kaolin Co., Inc.</w:t>
      </w:r>
      <w:r w:rsidRPr="00207C70">
        <w:rPr>
          <w:sz w:val="24"/>
          <w:szCs w:val="24"/>
        </w:rPr>
        <w:t>, 264 Ga. 755, 449 S.E.2d 85 (1994).</w:t>
      </w:r>
    </w:p>
  </w:footnote>
  <w:footnote w:id="7">
    <w:p w:rsidR="006C49E4"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In re Rivermist Homeowners Ass’n Inc.</w:t>
      </w:r>
      <w:r w:rsidRPr="00207C70">
        <w:rPr>
          <w:sz w:val="24"/>
          <w:szCs w:val="24"/>
        </w:rPr>
        <w:t>, 244 Ga. 515, 260 S.E.2d 897 (1979)</w:t>
      </w:r>
      <w:r w:rsidR="006C49E4" w:rsidRPr="00207C70">
        <w:rPr>
          <w:sz w:val="24"/>
          <w:szCs w:val="24"/>
        </w:rPr>
        <w:t>.</w:t>
      </w:r>
    </w:p>
  </w:footnote>
  <w:footnote w:id="8">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Vaughn v. Vaughn</w:t>
      </w:r>
      <w:r w:rsidRPr="00207C70">
        <w:rPr>
          <w:sz w:val="24"/>
          <w:szCs w:val="24"/>
        </w:rPr>
        <w:t>, 253 Ga. 76, 317 S.E.2d 201 (1984)</w:t>
      </w:r>
      <w:r w:rsidR="006C49E4" w:rsidRPr="00207C70">
        <w:rPr>
          <w:sz w:val="24"/>
          <w:szCs w:val="24"/>
        </w:rPr>
        <w:t>.</w:t>
      </w:r>
    </w:p>
  </w:footnote>
  <w:footnote w:id="9">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Cowron &amp; Co. v. Shehadeh</w:t>
      </w:r>
      <w:r w:rsidRPr="00207C70">
        <w:rPr>
          <w:sz w:val="24"/>
          <w:szCs w:val="24"/>
        </w:rPr>
        <w:t>, 268 Ga. 383, 490 S.E.2d 82 (1997);  O.C.G.A. §§ 23-3-60 to 72.</w:t>
      </w:r>
    </w:p>
  </w:footnote>
  <w:footnote w:id="10">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Smith</w:t>
      </w:r>
      <w:r w:rsidRPr="00207C70">
        <w:rPr>
          <w:sz w:val="24"/>
          <w:szCs w:val="24"/>
        </w:rPr>
        <w:t>, 264 Ga. 755, 449 S.E.2d 85 (1994).</w:t>
      </w:r>
    </w:p>
  </w:footnote>
  <w:footnote w:id="11">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 O.C.G.A. § 23-3-61.</w:t>
      </w:r>
    </w:p>
  </w:footnote>
  <w:footnote w:id="12">
    <w:p w:rsidR="00497301" w:rsidRPr="00207C70" w:rsidRDefault="00497301" w:rsidP="00A911F8">
      <w:pPr>
        <w:pStyle w:val="FootnoteText"/>
        <w:jc w:val="both"/>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13">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O.C.G.A. §§ 23-3-64, 65.</w:t>
      </w:r>
    </w:p>
  </w:footnote>
  <w:footnote w:id="14">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O.C.G.A. § 23-3-65.</w:t>
      </w:r>
    </w:p>
  </w:footnote>
  <w:footnote w:id="15">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O.C.G.A. § 23-3-67.</w:t>
      </w:r>
    </w:p>
  </w:footnote>
  <w:footnote w:id="16">
    <w:p w:rsidR="00497301" w:rsidRPr="00207C70" w:rsidRDefault="00497301" w:rsidP="00A911F8">
      <w:pPr>
        <w:pStyle w:val="FootnoteText"/>
        <w:jc w:val="both"/>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Piedmont Cotton Mills, Inc. v. Woelper</w:t>
      </w:r>
      <w:r w:rsidRPr="00207C70">
        <w:rPr>
          <w:sz w:val="24"/>
          <w:szCs w:val="24"/>
        </w:rPr>
        <w:t>, 1998 Ga. LEXIS 272 (February 23, 1998).</w:t>
      </w:r>
    </w:p>
  </w:footnote>
  <w:footnote w:id="17">
    <w:p w:rsidR="00CE47B8" w:rsidRPr="00207C70" w:rsidRDefault="00CE47B8" w:rsidP="00A911F8">
      <w:pPr>
        <w:pStyle w:val="FootnoteText"/>
        <w:jc w:val="both"/>
        <w:rPr>
          <w:sz w:val="24"/>
          <w:szCs w:val="24"/>
        </w:rPr>
      </w:pPr>
      <w:r w:rsidRPr="00207C70">
        <w:rPr>
          <w:rStyle w:val="FootnoteReference"/>
          <w:sz w:val="24"/>
          <w:szCs w:val="24"/>
        </w:rPr>
        <w:footnoteRef/>
      </w:r>
      <w:r w:rsidRPr="00207C70">
        <w:rPr>
          <w:sz w:val="24"/>
          <w:szCs w:val="24"/>
        </w:rPr>
        <w:t xml:space="preserve"> </w:t>
      </w:r>
      <w:r w:rsidR="0005761A" w:rsidRPr="00207C70">
        <w:rPr>
          <w:sz w:val="24"/>
          <w:szCs w:val="24"/>
        </w:rPr>
        <w:t xml:space="preserve">The holding in Sustainable Coast expressly overrules </w:t>
      </w:r>
      <w:r w:rsidR="0005761A" w:rsidRPr="00207C70">
        <w:rPr>
          <w:color w:val="000000"/>
          <w:sz w:val="24"/>
          <w:szCs w:val="24"/>
          <w:u w:val="single"/>
          <w:shd w:val="clear" w:color="auto" w:fill="FFFFFF"/>
        </w:rPr>
        <w:t>Intl. Bus. Machines Corp. v.. Evans</w:t>
      </w:r>
      <w:r w:rsidR="0005761A" w:rsidRPr="00207C70">
        <w:rPr>
          <w:color w:val="000000"/>
          <w:sz w:val="24"/>
          <w:szCs w:val="24"/>
          <w:shd w:val="clear" w:color="auto" w:fill="FFFFFF"/>
        </w:rPr>
        <w:t>, 265 Ga. 215</w:t>
      </w:r>
      <w:r w:rsidR="008C2030" w:rsidRPr="00207C70">
        <w:rPr>
          <w:color w:val="000000"/>
          <w:sz w:val="24"/>
          <w:szCs w:val="24"/>
          <w:shd w:val="clear" w:color="auto" w:fill="FFFFFF"/>
        </w:rPr>
        <w:t xml:space="preserve">, 216, </w:t>
      </w:r>
      <w:r w:rsidR="0005761A" w:rsidRPr="00207C70">
        <w:rPr>
          <w:color w:val="000000"/>
          <w:sz w:val="24"/>
          <w:szCs w:val="24"/>
          <w:shd w:val="clear" w:color="auto" w:fill="FFFFFF"/>
        </w:rPr>
        <w:t>453 S.E.2d 706</w:t>
      </w:r>
      <w:r w:rsidR="008C2030" w:rsidRPr="00207C70">
        <w:rPr>
          <w:color w:val="000000"/>
          <w:sz w:val="24"/>
          <w:szCs w:val="24"/>
          <w:shd w:val="clear" w:color="auto" w:fill="FFFFFF"/>
        </w:rPr>
        <w:t xml:space="preserve">, 707 </w:t>
      </w:r>
      <w:r w:rsidR="0005761A" w:rsidRPr="00207C70">
        <w:rPr>
          <w:color w:val="000000"/>
          <w:sz w:val="24"/>
          <w:szCs w:val="24"/>
          <w:shd w:val="clear" w:color="auto" w:fill="FFFFFF"/>
        </w:rPr>
        <w:t>(1995)</w:t>
      </w:r>
      <w:r w:rsidR="00856838" w:rsidRPr="00207C70">
        <w:rPr>
          <w:color w:val="000000"/>
          <w:sz w:val="24"/>
          <w:szCs w:val="24"/>
          <w:shd w:val="clear" w:color="auto" w:fill="FFFFFF"/>
        </w:rPr>
        <w:t xml:space="preserve"> (</w:t>
      </w:r>
      <w:r w:rsidR="00856838" w:rsidRPr="00075A0D">
        <w:rPr>
          <w:color w:val="000000"/>
          <w:sz w:val="24"/>
          <w:szCs w:val="24"/>
          <w:shd w:val="clear" w:color="auto" w:fill="FFFFFF"/>
        </w:rPr>
        <w:t xml:space="preserve">finding that </w:t>
      </w:r>
      <w:r w:rsidR="00856838" w:rsidRPr="00075A0D">
        <w:rPr>
          <w:color w:val="171E22"/>
          <w:sz w:val="24"/>
          <w:szCs w:val="24"/>
          <w:shd w:val="clear" w:color="auto" w:fill="F5F5F5"/>
        </w:rPr>
        <w:t>sovereign immunity did not protect Department of Administrative Services from injunctive relief, and noting that "[t]o avoid the harsh results sovereign immunity would impose, the court has often employed the legal fiction</w:t>
      </w:r>
      <w:r w:rsidR="00856838" w:rsidRPr="00207C70">
        <w:rPr>
          <w:color w:val="171E22"/>
          <w:sz w:val="24"/>
          <w:szCs w:val="24"/>
          <w:shd w:val="clear" w:color="auto" w:fill="F5F5F5"/>
        </w:rPr>
        <w:t xml:space="preserve"> </w:t>
      </w:r>
      <w:r w:rsidR="00856838" w:rsidRPr="00075A0D">
        <w:rPr>
          <w:color w:val="171E22"/>
          <w:sz w:val="24"/>
          <w:szCs w:val="24"/>
          <w:shd w:val="clear" w:color="auto" w:fill="F5F5F5"/>
        </w:rPr>
        <w:t>that such a suit is not a suit against the state, but against an errant official, even though the purpose of the suit is to control state action through state employees</w:t>
      </w:r>
      <w:r w:rsidR="008C2030" w:rsidRPr="00075A0D">
        <w:rPr>
          <w:color w:val="171E22"/>
          <w:sz w:val="24"/>
          <w:szCs w:val="24"/>
          <w:shd w:val="clear" w:color="auto" w:fill="F5F5F5"/>
        </w:rPr>
        <w:t>”</w:t>
      </w:r>
      <w:r w:rsidR="0004317C" w:rsidRPr="00075A0D">
        <w:rPr>
          <w:color w:val="171E22"/>
          <w:sz w:val="24"/>
          <w:szCs w:val="24"/>
          <w:shd w:val="clear" w:color="auto" w:fill="F5F5F5"/>
        </w:rPr>
        <w:t>)</w:t>
      </w:r>
      <w:r w:rsidR="0005761A" w:rsidRPr="00075A0D">
        <w:rPr>
          <w:color w:val="000000"/>
          <w:sz w:val="24"/>
          <w:szCs w:val="24"/>
          <w:shd w:val="clear" w:color="auto" w:fill="FFFFFF"/>
        </w:rPr>
        <w:t>.</w:t>
      </w:r>
    </w:p>
  </w:footnote>
  <w:footnote w:id="18">
    <w:p w:rsidR="00F5779B" w:rsidRPr="00207C70" w:rsidRDefault="00F5779B" w:rsidP="00A911F8">
      <w:pPr>
        <w:pStyle w:val="FootnoteText"/>
        <w:rPr>
          <w:sz w:val="24"/>
          <w:szCs w:val="24"/>
        </w:rPr>
      </w:pPr>
      <w:r w:rsidRPr="00207C70">
        <w:rPr>
          <w:rStyle w:val="FootnoteReference"/>
          <w:sz w:val="24"/>
          <w:szCs w:val="24"/>
        </w:rPr>
        <w:footnoteRef/>
      </w:r>
      <w:r w:rsidRPr="00207C70">
        <w:rPr>
          <w:sz w:val="24"/>
          <w:szCs w:val="24"/>
        </w:rPr>
        <w:t xml:space="preserve"> TDGA, 783 S.E.2d at 107-108.</w:t>
      </w:r>
    </w:p>
  </w:footnote>
  <w:footnote w:id="19">
    <w:p w:rsidR="00084DC7" w:rsidRPr="00207C70" w:rsidRDefault="00084DC7"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 xml:space="preserve"> at 108.</w:t>
      </w:r>
    </w:p>
  </w:footnote>
  <w:footnote w:id="20">
    <w:p w:rsidR="00084DC7" w:rsidRPr="00207C70" w:rsidRDefault="00084DC7" w:rsidP="00A911F8">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21">
    <w:p w:rsidR="007C1C60" w:rsidRPr="00207C70" w:rsidRDefault="007C1C60"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22">
    <w:p w:rsidR="00417DE2" w:rsidRPr="00207C70" w:rsidRDefault="00417DE2" w:rsidP="00A911F8">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 xml:space="preserve"> at 109.</w:t>
      </w:r>
    </w:p>
  </w:footnote>
  <w:footnote w:id="23">
    <w:p w:rsidR="00E362C8" w:rsidRPr="00207C70" w:rsidRDefault="00E362C8"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24">
    <w:p w:rsidR="003F0D0F" w:rsidRPr="00207C70" w:rsidRDefault="003F0D0F"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 xml:space="preserve"> at 109-110.</w:t>
      </w:r>
    </w:p>
  </w:footnote>
  <w:footnote w:id="25">
    <w:p w:rsidR="003F0D0F" w:rsidRPr="00207C70" w:rsidRDefault="003F0D0F"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See</w:t>
      </w:r>
      <w:r w:rsidRPr="00207C70">
        <w:rPr>
          <w:sz w:val="24"/>
          <w:szCs w:val="24"/>
        </w:rPr>
        <w:t xml:space="preserve"> O.C.G.A. § 44-2-83.</w:t>
      </w:r>
    </w:p>
  </w:footnote>
  <w:footnote w:id="26">
    <w:p w:rsidR="00F51166" w:rsidRPr="00207C70" w:rsidRDefault="00F51166"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Cronan</w:t>
      </w:r>
      <w:r w:rsidRPr="00207C70">
        <w:rPr>
          <w:sz w:val="24"/>
          <w:szCs w:val="24"/>
        </w:rPr>
        <w:t>, 336 Ga. App. at 201.</w:t>
      </w:r>
    </w:p>
  </w:footnote>
  <w:footnote w:id="27">
    <w:p w:rsidR="00117E89" w:rsidRPr="00207C70" w:rsidRDefault="00117E89" w:rsidP="00A911F8">
      <w:pPr>
        <w:pStyle w:val="FootnoteText"/>
        <w:rPr>
          <w:sz w:val="24"/>
          <w:szCs w:val="24"/>
        </w:rPr>
      </w:pPr>
      <w:r w:rsidRPr="00207C70">
        <w:rPr>
          <w:rStyle w:val="FootnoteReference"/>
          <w:sz w:val="24"/>
          <w:szCs w:val="24"/>
        </w:rPr>
        <w:footnoteRef/>
      </w:r>
      <w:r w:rsidRPr="00207C70">
        <w:rPr>
          <w:sz w:val="24"/>
          <w:szCs w:val="24"/>
        </w:rPr>
        <w:t xml:space="preserve"> </w:t>
      </w:r>
      <w:r w:rsidR="00F51166" w:rsidRPr="00207C70">
        <w:rPr>
          <w:sz w:val="24"/>
          <w:szCs w:val="24"/>
          <w:u w:val="single"/>
        </w:rPr>
        <w:t>Id.</w:t>
      </w:r>
    </w:p>
  </w:footnote>
  <w:footnote w:id="28">
    <w:p w:rsidR="00F51166" w:rsidRPr="00207C70" w:rsidRDefault="00F51166"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 xml:space="preserve"> at 201-202.</w:t>
      </w:r>
    </w:p>
  </w:footnote>
  <w:footnote w:id="29">
    <w:p w:rsidR="00890311" w:rsidRPr="00207C70" w:rsidRDefault="00890311"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 xml:space="preserve"> at 202.</w:t>
      </w:r>
    </w:p>
  </w:footnote>
  <w:footnote w:id="30">
    <w:p w:rsidR="00DD4EA4" w:rsidRPr="00207C70" w:rsidRDefault="00DD4EA4" w:rsidP="00A911F8">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31">
    <w:p w:rsidR="007369FC" w:rsidRPr="00207C70" w:rsidRDefault="007369FC" w:rsidP="00A911F8">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32">
    <w:p w:rsidR="001343D0" w:rsidRPr="00207C70" w:rsidRDefault="001343D0"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 xml:space="preserve"> at 203-204.</w:t>
      </w:r>
    </w:p>
  </w:footnote>
  <w:footnote w:id="33">
    <w:p w:rsidR="001343D0" w:rsidRPr="00207C70" w:rsidRDefault="001343D0"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34">
    <w:p w:rsidR="001343D0" w:rsidRPr="00207C70" w:rsidRDefault="001343D0"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at 204.</w:t>
      </w:r>
    </w:p>
  </w:footnote>
  <w:footnote w:id="35">
    <w:p w:rsidR="00F27C0F" w:rsidRPr="00207C70" w:rsidRDefault="00F27C0F">
      <w:pPr>
        <w:pStyle w:val="FootnoteText"/>
        <w:rPr>
          <w:sz w:val="24"/>
          <w:szCs w:val="24"/>
        </w:rPr>
      </w:pPr>
      <w:r w:rsidRPr="00207C70">
        <w:rPr>
          <w:rStyle w:val="FootnoteReference"/>
          <w:sz w:val="24"/>
          <w:szCs w:val="24"/>
        </w:rPr>
        <w:footnoteRef/>
      </w:r>
      <w:r w:rsidRPr="00207C70">
        <w:rPr>
          <w:sz w:val="24"/>
          <w:szCs w:val="24"/>
        </w:rPr>
        <w:t xml:space="preserve"> 337 Ga. App. at 767.</w:t>
      </w:r>
    </w:p>
  </w:footnote>
  <w:footnote w:id="36">
    <w:p w:rsidR="00F27C0F" w:rsidRPr="00207C70" w:rsidRDefault="00F27C0F">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37">
    <w:p w:rsidR="00F27C0F" w:rsidRPr="00207C70" w:rsidRDefault="00F27C0F">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38">
    <w:p w:rsidR="00BD32A2" w:rsidRPr="00207C70" w:rsidRDefault="00BD32A2">
      <w:pPr>
        <w:pStyle w:val="FootnoteText"/>
        <w:rPr>
          <w:sz w:val="24"/>
          <w:szCs w:val="24"/>
        </w:rPr>
      </w:pPr>
      <w:r w:rsidRPr="00207C70">
        <w:rPr>
          <w:rStyle w:val="FootnoteReference"/>
          <w:sz w:val="24"/>
          <w:szCs w:val="24"/>
        </w:rPr>
        <w:footnoteRef/>
      </w:r>
      <w:r w:rsidRPr="00207C70">
        <w:rPr>
          <w:sz w:val="24"/>
          <w:szCs w:val="24"/>
        </w:rPr>
        <w:t xml:space="preserve"> </w:t>
      </w:r>
      <w:r w:rsidR="00427B5F" w:rsidRPr="00207C70">
        <w:rPr>
          <w:sz w:val="24"/>
          <w:szCs w:val="24"/>
          <w:u w:val="single"/>
        </w:rPr>
        <w:t>Id.</w:t>
      </w:r>
      <w:r w:rsidR="005B2176" w:rsidRPr="00207C70">
        <w:rPr>
          <w:sz w:val="24"/>
          <w:szCs w:val="24"/>
          <w:u w:val="single"/>
        </w:rPr>
        <w:t xml:space="preserve"> </w:t>
      </w:r>
      <w:r w:rsidR="00427B5F" w:rsidRPr="00207C70">
        <w:rPr>
          <w:sz w:val="24"/>
          <w:szCs w:val="24"/>
        </w:rPr>
        <w:t>at 768.</w:t>
      </w:r>
    </w:p>
  </w:footnote>
  <w:footnote w:id="39">
    <w:p w:rsidR="00427B5F" w:rsidRPr="00207C70" w:rsidRDefault="00427B5F">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40">
    <w:p w:rsidR="00427B5F" w:rsidRPr="00207C70" w:rsidRDefault="00427B5F">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41">
    <w:p w:rsidR="007C1FD2" w:rsidRPr="00207C70" w:rsidRDefault="007C1FD2">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42">
    <w:p w:rsidR="005B2176" w:rsidRPr="00207C70" w:rsidRDefault="005B2176">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43">
    <w:p w:rsidR="005B2176" w:rsidRPr="00207C70" w:rsidRDefault="005B2176">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44">
    <w:p w:rsidR="005B2176" w:rsidRPr="00207C70" w:rsidRDefault="005B2176">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45">
    <w:p w:rsidR="007C1FD2" w:rsidRPr="00207C70" w:rsidRDefault="007C1FD2">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005B2176" w:rsidRPr="00207C70">
        <w:rPr>
          <w:sz w:val="24"/>
          <w:szCs w:val="24"/>
        </w:rPr>
        <w:t xml:space="preserve"> </w:t>
      </w:r>
      <w:r w:rsidRPr="00207C70">
        <w:rPr>
          <w:sz w:val="24"/>
          <w:szCs w:val="24"/>
        </w:rPr>
        <w:t>at 769.</w:t>
      </w:r>
    </w:p>
  </w:footnote>
  <w:footnote w:id="46">
    <w:p w:rsidR="003372DB" w:rsidRPr="00207C70" w:rsidRDefault="003372DB">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47">
    <w:p w:rsidR="00565454" w:rsidRPr="00207C70" w:rsidRDefault="00565454">
      <w:pPr>
        <w:pStyle w:val="FootnoteText"/>
        <w:rPr>
          <w:sz w:val="24"/>
          <w:szCs w:val="24"/>
        </w:rPr>
      </w:pPr>
      <w:r w:rsidRPr="00207C70">
        <w:rPr>
          <w:rStyle w:val="FootnoteReference"/>
          <w:sz w:val="24"/>
          <w:szCs w:val="24"/>
        </w:rPr>
        <w:footnoteRef/>
      </w:r>
      <w:r w:rsidRPr="00207C70">
        <w:rPr>
          <w:sz w:val="24"/>
          <w:szCs w:val="24"/>
        </w:rPr>
        <w:t xml:space="preserve"> J. Branch</w:t>
      </w:r>
      <w:r w:rsidR="00486338" w:rsidRPr="00207C70">
        <w:rPr>
          <w:sz w:val="24"/>
          <w:szCs w:val="24"/>
        </w:rPr>
        <w:t xml:space="preserve"> wrote the opinion with JJ. </w:t>
      </w:r>
      <w:r w:rsidRPr="00207C70">
        <w:rPr>
          <w:sz w:val="24"/>
          <w:szCs w:val="24"/>
        </w:rPr>
        <w:t>Andrews, Dillard</w:t>
      </w:r>
      <w:r w:rsidR="00FF0C59" w:rsidRPr="00207C70">
        <w:rPr>
          <w:sz w:val="24"/>
          <w:szCs w:val="24"/>
        </w:rPr>
        <w:t>,</w:t>
      </w:r>
      <w:r w:rsidRPr="00207C70">
        <w:rPr>
          <w:sz w:val="24"/>
          <w:szCs w:val="24"/>
        </w:rPr>
        <w:t xml:space="preserve"> Peterson</w:t>
      </w:r>
      <w:r w:rsidR="00486338" w:rsidRPr="00207C70">
        <w:rPr>
          <w:sz w:val="24"/>
          <w:szCs w:val="24"/>
        </w:rPr>
        <w:t xml:space="preserve"> concurring.  J. </w:t>
      </w:r>
      <w:r w:rsidR="00FF0C59" w:rsidRPr="00207C70">
        <w:rPr>
          <w:sz w:val="24"/>
          <w:szCs w:val="24"/>
        </w:rPr>
        <w:t>Ray concurr</w:t>
      </w:r>
      <w:r w:rsidR="00486338" w:rsidRPr="00207C70">
        <w:rPr>
          <w:sz w:val="24"/>
          <w:szCs w:val="24"/>
        </w:rPr>
        <w:t xml:space="preserve">ed </w:t>
      </w:r>
      <w:r w:rsidR="00FF0C59" w:rsidRPr="00207C70">
        <w:rPr>
          <w:sz w:val="24"/>
          <w:szCs w:val="24"/>
        </w:rPr>
        <w:t>in the judgment only.  JJ. Ellington, Phipps, Mercier and Doyle dissented.</w:t>
      </w:r>
    </w:p>
  </w:footnote>
  <w:footnote w:id="48">
    <w:p w:rsidR="003372DB" w:rsidRPr="00207C70" w:rsidRDefault="003372DB">
      <w:pPr>
        <w:pStyle w:val="FootnoteText"/>
        <w:rPr>
          <w:sz w:val="24"/>
          <w:szCs w:val="24"/>
        </w:rPr>
      </w:pPr>
      <w:r w:rsidRPr="00207C70">
        <w:rPr>
          <w:rStyle w:val="FootnoteReference"/>
          <w:sz w:val="24"/>
          <w:szCs w:val="24"/>
        </w:rPr>
        <w:footnoteRef/>
      </w:r>
      <w:r w:rsidRPr="00207C70">
        <w:rPr>
          <w:sz w:val="24"/>
          <w:szCs w:val="24"/>
        </w:rPr>
        <w:t xml:space="preserve"> 337 Ga. App. at 770.</w:t>
      </w:r>
    </w:p>
  </w:footnote>
  <w:footnote w:id="49">
    <w:p w:rsidR="0014520B" w:rsidRPr="00207C70" w:rsidRDefault="0014520B">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at 770-771.</w:t>
      </w:r>
    </w:p>
  </w:footnote>
  <w:footnote w:id="50">
    <w:p w:rsidR="0014520B" w:rsidRPr="00207C70" w:rsidRDefault="0014520B">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at 771.</w:t>
      </w:r>
    </w:p>
  </w:footnote>
  <w:footnote w:id="51">
    <w:p w:rsidR="00207C70" w:rsidRPr="00207C70" w:rsidRDefault="00207C70">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52">
    <w:p w:rsidR="000F650D" w:rsidRPr="000F650D" w:rsidRDefault="000F650D">
      <w:pPr>
        <w:pStyle w:val="FootnoteText"/>
        <w:rPr>
          <w:u w:val="single"/>
        </w:rPr>
      </w:pPr>
      <w:r>
        <w:rPr>
          <w:rStyle w:val="FootnoteReference"/>
        </w:rPr>
        <w:footnoteRef/>
      </w:r>
      <w:r>
        <w:t xml:space="preserve"> </w:t>
      </w:r>
      <w:r w:rsidRPr="000F650D">
        <w:rPr>
          <w:sz w:val="24"/>
          <w:szCs w:val="24"/>
          <w:u w:val="single"/>
        </w:rPr>
        <w:t>Id.</w:t>
      </w:r>
    </w:p>
  </w:footnote>
  <w:footnote w:id="53">
    <w:p w:rsidR="005C4A47" w:rsidRPr="00207C70" w:rsidRDefault="005C4A47" w:rsidP="00A911F8">
      <w:pPr>
        <w:pStyle w:val="FootnoteText"/>
        <w:rPr>
          <w:sz w:val="24"/>
          <w:szCs w:val="24"/>
        </w:rPr>
      </w:pPr>
      <w:r w:rsidRPr="00207C70">
        <w:rPr>
          <w:rStyle w:val="FootnoteReference"/>
          <w:sz w:val="24"/>
          <w:szCs w:val="24"/>
        </w:rPr>
        <w:footnoteRef/>
      </w:r>
      <w:r w:rsidRPr="00207C70">
        <w:rPr>
          <w:sz w:val="24"/>
          <w:szCs w:val="24"/>
        </w:rPr>
        <w:t xml:space="preserve"> 333 Ga. App. at 539-540.</w:t>
      </w:r>
    </w:p>
  </w:footnote>
  <w:footnote w:id="54">
    <w:p w:rsidR="006E76CF" w:rsidRPr="00207C70" w:rsidRDefault="006E76CF"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55">
    <w:p w:rsidR="006E76CF" w:rsidRPr="00207C70" w:rsidRDefault="006E76CF"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 xml:space="preserve"> at 543.</w:t>
      </w:r>
    </w:p>
  </w:footnote>
  <w:footnote w:id="56">
    <w:p w:rsidR="00F66A97" w:rsidRPr="00207C70" w:rsidRDefault="00F66A97"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 xml:space="preserve"> at 542.</w:t>
      </w:r>
    </w:p>
  </w:footnote>
  <w:footnote w:id="57">
    <w:p w:rsidR="00F66A97" w:rsidRPr="00207C70" w:rsidRDefault="00F66A97"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at 540.</w:t>
      </w:r>
    </w:p>
  </w:footnote>
  <w:footnote w:id="58">
    <w:p w:rsidR="007E7B91" w:rsidRPr="00207C70" w:rsidRDefault="007E7B91"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 xml:space="preserve"> at 542.</w:t>
      </w:r>
    </w:p>
  </w:footnote>
  <w:footnote w:id="59">
    <w:p w:rsidR="007E7B91" w:rsidRPr="00207C70" w:rsidRDefault="007E7B91" w:rsidP="00A911F8">
      <w:pPr>
        <w:pStyle w:val="FootnoteText"/>
        <w:rPr>
          <w:sz w:val="24"/>
          <w:szCs w:val="24"/>
          <w:u w:val="single"/>
        </w:rPr>
      </w:pPr>
      <w:r w:rsidRPr="00207C70">
        <w:rPr>
          <w:rStyle w:val="FootnoteReference"/>
          <w:sz w:val="24"/>
          <w:szCs w:val="24"/>
        </w:rPr>
        <w:footnoteRef/>
      </w:r>
      <w:r w:rsidRPr="00207C70">
        <w:rPr>
          <w:sz w:val="24"/>
          <w:szCs w:val="24"/>
        </w:rPr>
        <w:t xml:space="preserve"> </w:t>
      </w:r>
      <w:r w:rsidRPr="00207C70">
        <w:rPr>
          <w:sz w:val="24"/>
          <w:szCs w:val="24"/>
          <w:u w:val="single"/>
        </w:rPr>
        <w:t>Id.</w:t>
      </w:r>
    </w:p>
  </w:footnote>
  <w:footnote w:id="60">
    <w:p w:rsidR="007E7B91" w:rsidRPr="00207C70" w:rsidRDefault="007E7B91"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at 541.</w:t>
      </w:r>
    </w:p>
  </w:footnote>
  <w:footnote w:id="61">
    <w:p w:rsidR="00B472F9" w:rsidRPr="00207C70" w:rsidRDefault="00B472F9"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Id.</w:t>
      </w:r>
      <w:r w:rsidRPr="00207C70">
        <w:rPr>
          <w:sz w:val="24"/>
          <w:szCs w:val="24"/>
        </w:rPr>
        <w:t xml:space="preserve"> at 543.</w:t>
      </w:r>
    </w:p>
  </w:footnote>
  <w:footnote w:id="62">
    <w:p w:rsidR="00270D6C" w:rsidRPr="00207C70" w:rsidRDefault="00270D6C">
      <w:pPr>
        <w:pStyle w:val="FootnoteText"/>
        <w:rPr>
          <w:sz w:val="24"/>
          <w:szCs w:val="24"/>
        </w:rPr>
      </w:pPr>
      <w:r w:rsidRPr="00207C70">
        <w:rPr>
          <w:rStyle w:val="FootnoteReference"/>
          <w:sz w:val="24"/>
          <w:szCs w:val="24"/>
        </w:rPr>
        <w:footnoteRef/>
      </w:r>
      <w:r w:rsidRPr="00207C70">
        <w:rPr>
          <w:sz w:val="24"/>
          <w:szCs w:val="24"/>
        </w:rPr>
        <w:t xml:space="preserve"> </w:t>
      </w:r>
      <w:r w:rsidRPr="00207C70">
        <w:rPr>
          <w:sz w:val="24"/>
          <w:szCs w:val="24"/>
          <w:u w:val="single"/>
        </w:rPr>
        <w:t>See</w:t>
      </w:r>
      <w:r w:rsidRPr="00207C70">
        <w:rPr>
          <w:sz w:val="24"/>
          <w:szCs w:val="24"/>
        </w:rPr>
        <w:t xml:space="preserve"> III.C </w:t>
      </w:r>
      <w:r w:rsidRPr="00207C70">
        <w:rPr>
          <w:i/>
          <w:sz w:val="24"/>
          <w:szCs w:val="24"/>
        </w:rPr>
        <w:t>supra</w:t>
      </w:r>
      <w:r w:rsidRPr="00207C70">
        <w:rPr>
          <w:sz w:val="24"/>
          <w:szCs w:val="24"/>
        </w:rPr>
        <w:t xml:space="preserve"> for a detailed discussion of this rule in the case of </w:t>
      </w:r>
      <w:r w:rsidRPr="00207C70">
        <w:rPr>
          <w:sz w:val="24"/>
          <w:szCs w:val="24"/>
          <w:u w:val="single"/>
        </w:rPr>
        <w:t>Wyatt v. Hizer</w:t>
      </w:r>
      <w:r w:rsidRPr="00207C70">
        <w:rPr>
          <w:sz w:val="24"/>
          <w:szCs w:val="24"/>
        </w:rPr>
        <w:t>.</w:t>
      </w:r>
    </w:p>
  </w:footnote>
  <w:footnote w:id="63">
    <w:p w:rsidR="00EE7E3C" w:rsidRPr="00207C70" w:rsidRDefault="00EE7E3C" w:rsidP="00A911F8">
      <w:pPr>
        <w:shd w:val="clear" w:color="auto" w:fill="FFFFFF"/>
        <w:spacing w:after="0" w:line="240" w:lineRule="auto"/>
        <w:jc w:val="both"/>
        <w:rPr>
          <w:rFonts w:ascii="Times New Roman" w:hAnsi="Times New Roman" w:cs="Times New Roman"/>
          <w:sz w:val="24"/>
          <w:szCs w:val="24"/>
        </w:rPr>
      </w:pPr>
      <w:r w:rsidRPr="00207C70">
        <w:rPr>
          <w:rStyle w:val="FootnoteReference"/>
          <w:rFonts w:ascii="Times New Roman" w:hAnsi="Times New Roman" w:cs="Times New Roman"/>
          <w:sz w:val="24"/>
          <w:szCs w:val="24"/>
        </w:rPr>
        <w:footnoteRef/>
      </w:r>
      <w:r w:rsidRPr="00207C70">
        <w:rPr>
          <w:rFonts w:ascii="Times New Roman" w:hAnsi="Times New Roman" w:cs="Times New Roman"/>
          <w:sz w:val="24"/>
          <w:szCs w:val="24"/>
        </w:rPr>
        <w:t xml:space="preserve"> </w:t>
      </w:r>
      <w:r w:rsidRPr="00207C70">
        <w:rPr>
          <w:rStyle w:val="Emphasis"/>
          <w:rFonts w:ascii="Times New Roman" w:hAnsi="Times New Roman" w:cs="Times New Roman"/>
          <w:i w:val="0"/>
          <w:sz w:val="24"/>
          <w:szCs w:val="24"/>
          <w:u w:val="single"/>
        </w:rPr>
        <w:t>Ardex, Ltd. v. Brighton Homes</w:t>
      </w:r>
      <w:r w:rsidRPr="00207C70">
        <w:rPr>
          <w:rStyle w:val="Emphasis"/>
          <w:rFonts w:ascii="Times New Roman" w:hAnsi="Times New Roman" w:cs="Times New Roman"/>
          <w:color w:val="145DA4"/>
          <w:sz w:val="24"/>
          <w:szCs w:val="24"/>
        </w:rPr>
        <w:t>,</w:t>
      </w:r>
      <w:r w:rsidRPr="00207C70">
        <w:rPr>
          <w:rStyle w:val="apple-converted-space"/>
          <w:rFonts w:ascii="Times New Roman" w:hAnsi="Times New Roman" w:cs="Times New Roman"/>
          <w:color w:val="145DA4"/>
          <w:sz w:val="24"/>
          <w:szCs w:val="24"/>
        </w:rPr>
        <w:t> </w:t>
      </w:r>
      <w:r w:rsidRPr="00207C70">
        <w:rPr>
          <w:rFonts w:ascii="Times New Roman" w:hAnsi="Times New Roman" w:cs="Times New Roman"/>
          <w:sz w:val="24"/>
          <w:szCs w:val="24"/>
        </w:rPr>
        <w:t>206 Ga.</w:t>
      </w:r>
      <w:r w:rsidR="00B7079A">
        <w:rPr>
          <w:rFonts w:ascii="Times New Roman" w:hAnsi="Times New Roman" w:cs="Times New Roman"/>
          <w:sz w:val="24"/>
          <w:szCs w:val="24"/>
        </w:rPr>
        <w:t xml:space="preserve"> </w:t>
      </w:r>
      <w:r w:rsidRPr="00207C70">
        <w:rPr>
          <w:rFonts w:ascii="Times New Roman" w:hAnsi="Times New Roman" w:cs="Times New Roman"/>
          <w:sz w:val="24"/>
          <w:szCs w:val="24"/>
        </w:rPr>
        <w:t>App. 606, 608(2), 426 S.E.2d 200 (1992)</w:t>
      </w:r>
      <w:r w:rsidR="00CF769A" w:rsidRPr="00207C70">
        <w:rPr>
          <w:rFonts w:ascii="Times New Roman" w:hAnsi="Times New Roman" w:cs="Times New Roman"/>
          <w:sz w:val="24"/>
          <w:szCs w:val="24"/>
        </w:rPr>
        <w:t xml:space="preserve">; </w:t>
      </w:r>
      <w:r w:rsidR="00CF769A" w:rsidRPr="00207C70">
        <w:rPr>
          <w:rFonts w:ascii="Times New Roman" w:hAnsi="Times New Roman" w:cs="Times New Roman"/>
          <w:sz w:val="24"/>
          <w:szCs w:val="24"/>
          <w:u w:val="single"/>
        </w:rPr>
        <w:t>see</w:t>
      </w:r>
      <w:r w:rsidR="00CF769A" w:rsidRPr="00207C70">
        <w:rPr>
          <w:rFonts w:ascii="Times New Roman" w:hAnsi="Times New Roman" w:cs="Times New Roman"/>
          <w:sz w:val="24"/>
          <w:szCs w:val="24"/>
        </w:rPr>
        <w:t xml:space="preserve"> </w:t>
      </w:r>
      <w:r w:rsidR="00CF769A" w:rsidRPr="00207C70">
        <w:rPr>
          <w:rFonts w:ascii="Times New Roman" w:hAnsi="Times New Roman" w:cs="Times New Roman"/>
          <w:sz w:val="24"/>
          <w:szCs w:val="24"/>
          <w:u w:val="single"/>
        </w:rPr>
        <w:t>also</w:t>
      </w:r>
      <w:r w:rsidR="00CF769A" w:rsidRPr="00207C70">
        <w:rPr>
          <w:rFonts w:ascii="Times New Roman" w:hAnsi="Times New Roman" w:cs="Times New Roman"/>
          <w:sz w:val="24"/>
          <w:szCs w:val="24"/>
        </w:rPr>
        <w:t xml:space="preserve"> </w:t>
      </w:r>
      <w:r w:rsidR="00CF769A" w:rsidRPr="00207C70">
        <w:rPr>
          <w:rFonts w:ascii="Times New Roman" w:hAnsi="Times New Roman" w:cs="Times New Roman"/>
          <w:color w:val="333333"/>
          <w:sz w:val="24"/>
          <w:szCs w:val="24"/>
          <w:u w:val="single"/>
          <w:bdr w:val="none" w:sz="0" w:space="0" w:color="auto" w:frame="1"/>
          <w:shd w:val="clear" w:color="auto" w:fill="FFFFFF"/>
        </w:rPr>
        <w:t>Cowdery v. Greenlee</w:t>
      </w:r>
      <w:r w:rsidR="00CF769A" w:rsidRPr="00207C70">
        <w:rPr>
          <w:rFonts w:ascii="Times New Roman" w:hAnsi="Times New Roman" w:cs="Times New Roman"/>
          <w:color w:val="333333"/>
          <w:sz w:val="24"/>
          <w:szCs w:val="24"/>
          <w:shd w:val="clear" w:color="auto" w:fill="FFFFFF"/>
        </w:rPr>
        <w:t>, 126 Ga. 786, 790, 55 S.E. 918 (1906).</w:t>
      </w:r>
    </w:p>
  </w:footnote>
  <w:footnote w:id="64">
    <w:p w:rsidR="003B043E" w:rsidRPr="00207C70" w:rsidRDefault="003B043E" w:rsidP="00A911F8">
      <w:pPr>
        <w:pStyle w:val="FootnoteText"/>
        <w:rPr>
          <w:sz w:val="24"/>
          <w:szCs w:val="24"/>
        </w:rPr>
      </w:pPr>
      <w:r w:rsidRPr="00207C70">
        <w:rPr>
          <w:rStyle w:val="FootnoteReference"/>
          <w:sz w:val="24"/>
          <w:szCs w:val="24"/>
        </w:rPr>
        <w:footnoteRef/>
      </w:r>
      <w:r w:rsidRPr="00207C70">
        <w:rPr>
          <w:sz w:val="24"/>
          <w:szCs w:val="24"/>
        </w:rPr>
        <w:t xml:space="preserve"> </w:t>
      </w:r>
      <w:r w:rsidRPr="00207C70">
        <w:rPr>
          <w:color w:val="333333"/>
          <w:sz w:val="24"/>
          <w:szCs w:val="24"/>
          <w:shd w:val="clear" w:color="auto" w:fill="FFFFFF"/>
        </w:rPr>
        <w:t>O.C.G.A. § 44-2-22.</w:t>
      </w:r>
    </w:p>
  </w:footnote>
  <w:footnote w:id="65">
    <w:p w:rsidR="006541DD" w:rsidRPr="00207C70" w:rsidRDefault="006541DD" w:rsidP="00A911F8">
      <w:pPr>
        <w:pStyle w:val="FootnoteText"/>
        <w:rPr>
          <w:sz w:val="24"/>
          <w:szCs w:val="24"/>
        </w:rPr>
      </w:pPr>
      <w:r w:rsidRPr="00207C70">
        <w:rPr>
          <w:rStyle w:val="FootnoteReference"/>
          <w:sz w:val="24"/>
          <w:szCs w:val="24"/>
        </w:rPr>
        <w:footnoteRef/>
      </w:r>
      <w:r w:rsidRPr="00207C70">
        <w:rPr>
          <w:sz w:val="24"/>
          <w:szCs w:val="24"/>
        </w:rPr>
        <w:t xml:space="preserve"> Georgia Title Standards, § 2.1</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132D"/>
    <w:multiLevelType w:val="hybridMultilevel"/>
    <w:tmpl w:val="B5840936"/>
    <w:lvl w:ilvl="0" w:tplc="91BA0F0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5251BA"/>
    <w:multiLevelType w:val="multilevel"/>
    <w:tmpl w:val="46B043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21091DC0"/>
    <w:multiLevelType w:val="hybridMultilevel"/>
    <w:tmpl w:val="DB5A9AFC"/>
    <w:lvl w:ilvl="0" w:tplc="48A09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02518D"/>
    <w:multiLevelType w:val="hybridMultilevel"/>
    <w:tmpl w:val="1CFC3978"/>
    <w:lvl w:ilvl="0" w:tplc="BA82AFE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C83B1B"/>
    <w:multiLevelType w:val="hybridMultilevel"/>
    <w:tmpl w:val="2752BC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3876AA"/>
    <w:multiLevelType w:val="hybridMultilevel"/>
    <w:tmpl w:val="1D1C2530"/>
    <w:lvl w:ilvl="0" w:tplc="D0D40062">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1DB32C1"/>
    <w:multiLevelType w:val="hybridMultilevel"/>
    <w:tmpl w:val="4F748908"/>
    <w:lvl w:ilvl="0" w:tplc="FA5676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C4A44"/>
    <w:multiLevelType w:val="hybridMultilevel"/>
    <w:tmpl w:val="92368EFE"/>
    <w:lvl w:ilvl="0" w:tplc="DB18D122">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5D70D33"/>
    <w:multiLevelType w:val="hybridMultilevel"/>
    <w:tmpl w:val="FBBAA9CE"/>
    <w:lvl w:ilvl="0" w:tplc="04090001">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B23CD5"/>
    <w:multiLevelType w:val="hybridMultilevel"/>
    <w:tmpl w:val="D8B40B54"/>
    <w:lvl w:ilvl="0" w:tplc="AA227A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8523E"/>
    <w:multiLevelType w:val="hybridMultilevel"/>
    <w:tmpl w:val="9C1C84AA"/>
    <w:lvl w:ilvl="0" w:tplc="8084EC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3"/>
  </w:num>
  <w:num w:numId="4">
    <w:abstractNumId w:val="1"/>
  </w:num>
  <w:num w:numId="5">
    <w:abstractNumId w:val="7"/>
  </w:num>
  <w:num w:numId="6">
    <w:abstractNumId w:val="2"/>
  </w:num>
  <w:num w:numId="7">
    <w:abstractNumId w:val="0"/>
  </w:num>
  <w:num w:numId="8">
    <w:abstractNumId w:val="5"/>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3C"/>
    <w:rsid w:val="0000706B"/>
    <w:rsid w:val="000121A7"/>
    <w:rsid w:val="00012965"/>
    <w:rsid w:val="0001386D"/>
    <w:rsid w:val="000144A5"/>
    <w:rsid w:val="00015A22"/>
    <w:rsid w:val="00020B47"/>
    <w:rsid w:val="0003113C"/>
    <w:rsid w:val="00031C5A"/>
    <w:rsid w:val="00035284"/>
    <w:rsid w:val="0004317C"/>
    <w:rsid w:val="000465CF"/>
    <w:rsid w:val="00047063"/>
    <w:rsid w:val="0005761A"/>
    <w:rsid w:val="00075A0D"/>
    <w:rsid w:val="000837E3"/>
    <w:rsid w:val="00084DC7"/>
    <w:rsid w:val="000864C3"/>
    <w:rsid w:val="00093CD1"/>
    <w:rsid w:val="00096A72"/>
    <w:rsid w:val="000B0D06"/>
    <w:rsid w:val="000B294E"/>
    <w:rsid w:val="000C6D67"/>
    <w:rsid w:val="000F650D"/>
    <w:rsid w:val="00111B5A"/>
    <w:rsid w:val="001171E7"/>
    <w:rsid w:val="00117E89"/>
    <w:rsid w:val="001217B5"/>
    <w:rsid w:val="00124846"/>
    <w:rsid w:val="001301C5"/>
    <w:rsid w:val="001307F6"/>
    <w:rsid w:val="001343D0"/>
    <w:rsid w:val="0014520B"/>
    <w:rsid w:val="0014615B"/>
    <w:rsid w:val="00147470"/>
    <w:rsid w:val="0015203F"/>
    <w:rsid w:val="00171C4C"/>
    <w:rsid w:val="001814D7"/>
    <w:rsid w:val="00182554"/>
    <w:rsid w:val="001A6ADA"/>
    <w:rsid w:val="001A6CC5"/>
    <w:rsid w:val="001B6AAC"/>
    <w:rsid w:val="001C0463"/>
    <w:rsid w:val="001C5C99"/>
    <w:rsid w:val="001D5730"/>
    <w:rsid w:val="00201667"/>
    <w:rsid w:val="00207C70"/>
    <w:rsid w:val="0021106B"/>
    <w:rsid w:val="00216DCC"/>
    <w:rsid w:val="00232DD9"/>
    <w:rsid w:val="002334B6"/>
    <w:rsid w:val="00240751"/>
    <w:rsid w:val="00257EAB"/>
    <w:rsid w:val="00263602"/>
    <w:rsid w:val="0026468C"/>
    <w:rsid w:val="00266D13"/>
    <w:rsid w:val="00270D6C"/>
    <w:rsid w:val="00273CCF"/>
    <w:rsid w:val="00273CD8"/>
    <w:rsid w:val="00283378"/>
    <w:rsid w:val="00290650"/>
    <w:rsid w:val="002A2DBB"/>
    <w:rsid w:val="002A374B"/>
    <w:rsid w:val="002A7CC6"/>
    <w:rsid w:val="002B3299"/>
    <w:rsid w:val="002C193D"/>
    <w:rsid w:val="002C1EC4"/>
    <w:rsid w:val="002C2C0E"/>
    <w:rsid w:val="002D3BD1"/>
    <w:rsid w:val="002E5435"/>
    <w:rsid w:val="002F68D7"/>
    <w:rsid w:val="00312D3A"/>
    <w:rsid w:val="00320156"/>
    <w:rsid w:val="00320248"/>
    <w:rsid w:val="00332CAD"/>
    <w:rsid w:val="003372DB"/>
    <w:rsid w:val="00345BA8"/>
    <w:rsid w:val="00350783"/>
    <w:rsid w:val="00354C9D"/>
    <w:rsid w:val="00355C52"/>
    <w:rsid w:val="00365CC4"/>
    <w:rsid w:val="00387917"/>
    <w:rsid w:val="003922D0"/>
    <w:rsid w:val="003A6339"/>
    <w:rsid w:val="003B043E"/>
    <w:rsid w:val="003B6169"/>
    <w:rsid w:val="003C0A7B"/>
    <w:rsid w:val="003C120D"/>
    <w:rsid w:val="003C531A"/>
    <w:rsid w:val="003D0A60"/>
    <w:rsid w:val="003E5EF5"/>
    <w:rsid w:val="003F0D0F"/>
    <w:rsid w:val="00401500"/>
    <w:rsid w:val="00405404"/>
    <w:rsid w:val="00411901"/>
    <w:rsid w:val="00417DE2"/>
    <w:rsid w:val="00420075"/>
    <w:rsid w:val="00426BAF"/>
    <w:rsid w:val="00427B5F"/>
    <w:rsid w:val="00432109"/>
    <w:rsid w:val="0048167F"/>
    <w:rsid w:val="004849A3"/>
    <w:rsid w:val="00486338"/>
    <w:rsid w:val="00497301"/>
    <w:rsid w:val="004A011D"/>
    <w:rsid w:val="004A725A"/>
    <w:rsid w:val="004B3EF5"/>
    <w:rsid w:val="004B7D22"/>
    <w:rsid w:val="004C6694"/>
    <w:rsid w:val="004D30D4"/>
    <w:rsid w:val="004D4543"/>
    <w:rsid w:val="00503854"/>
    <w:rsid w:val="005076D3"/>
    <w:rsid w:val="00524697"/>
    <w:rsid w:val="00541999"/>
    <w:rsid w:val="00541B51"/>
    <w:rsid w:val="00543A59"/>
    <w:rsid w:val="00546F4E"/>
    <w:rsid w:val="0055511F"/>
    <w:rsid w:val="00563FDF"/>
    <w:rsid w:val="00565454"/>
    <w:rsid w:val="0057351D"/>
    <w:rsid w:val="00576B31"/>
    <w:rsid w:val="005819F0"/>
    <w:rsid w:val="00584AE4"/>
    <w:rsid w:val="005A2AF5"/>
    <w:rsid w:val="005A37E2"/>
    <w:rsid w:val="005B2176"/>
    <w:rsid w:val="005B270C"/>
    <w:rsid w:val="005B6B21"/>
    <w:rsid w:val="005C33E6"/>
    <w:rsid w:val="005C4A47"/>
    <w:rsid w:val="005C5A88"/>
    <w:rsid w:val="005F0513"/>
    <w:rsid w:val="005F6D20"/>
    <w:rsid w:val="006130EB"/>
    <w:rsid w:val="00652D23"/>
    <w:rsid w:val="006541DD"/>
    <w:rsid w:val="00663ED6"/>
    <w:rsid w:val="00677174"/>
    <w:rsid w:val="006A3AF2"/>
    <w:rsid w:val="006B6FB2"/>
    <w:rsid w:val="006C49E4"/>
    <w:rsid w:val="006C77A4"/>
    <w:rsid w:val="006D305A"/>
    <w:rsid w:val="006E76CF"/>
    <w:rsid w:val="006F5A1F"/>
    <w:rsid w:val="00714A2E"/>
    <w:rsid w:val="007163A9"/>
    <w:rsid w:val="00721F77"/>
    <w:rsid w:val="00722AF2"/>
    <w:rsid w:val="0073558C"/>
    <w:rsid w:val="007369FC"/>
    <w:rsid w:val="00736A7A"/>
    <w:rsid w:val="00756C49"/>
    <w:rsid w:val="00762CFC"/>
    <w:rsid w:val="00764837"/>
    <w:rsid w:val="00770E76"/>
    <w:rsid w:val="00781F54"/>
    <w:rsid w:val="00796BFB"/>
    <w:rsid w:val="00796FC6"/>
    <w:rsid w:val="007A7E83"/>
    <w:rsid w:val="007C1C60"/>
    <w:rsid w:val="007C1FD2"/>
    <w:rsid w:val="007C3BEC"/>
    <w:rsid w:val="007C723C"/>
    <w:rsid w:val="007D5A7D"/>
    <w:rsid w:val="007D701B"/>
    <w:rsid w:val="007E6F80"/>
    <w:rsid w:val="007E7B91"/>
    <w:rsid w:val="007F514F"/>
    <w:rsid w:val="00805A94"/>
    <w:rsid w:val="00807BA7"/>
    <w:rsid w:val="0082194C"/>
    <w:rsid w:val="0084164B"/>
    <w:rsid w:val="00842C84"/>
    <w:rsid w:val="0084431E"/>
    <w:rsid w:val="00847A47"/>
    <w:rsid w:val="00856838"/>
    <w:rsid w:val="00860FA7"/>
    <w:rsid w:val="00865919"/>
    <w:rsid w:val="008669B5"/>
    <w:rsid w:val="00867DE5"/>
    <w:rsid w:val="00867EF4"/>
    <w:rsid w:val="00880458"/>
    <w:rsid w:val="00890311"/>
    <w:rsid w:val="0089298B"/>
    <w:rsid w:val="00897AF5"/>
    <w:rsid w:val="008A0C7C"/>
    <w:rsid w:val="008A6A11"/>
    <w:rsid w:val="008A78BB"/>
    <w:rsid w:val="008C2030"/>
    <w:rsid w:val="008E49BF"/>
    <w:rsid w:val="008F253F"/>
    <w:rsid w:val="0090032A"/>
    <w:rsid w:val="0090253F"/>
    <w:rsid w:val="00902945"/>
    <w:rsid w:val="00903731"/>
    <w:rsid w:val="00934477"/>
    <w:rsid w:val="0095446D"/>
    <w:rsid w:val="00976DB7"/>
    <w:rsid w:val="00984B82"/>
    <w:rsid w:val="00990F15"/>
    <w:rsid w:val="009A4D25"/>
    <w:rsid w:val="009C4787"/>
    <w:rsid w:val="009D43A7"/>
    <w:rsid w:val="009E1872"/>
    <w:rsid w:val="009F54BA"/>
    <w:rsid w:val="00A07445"/>
    <w:rsid w:val="00A2368E"/>
    <w:rsid w:val="00A43426"/>
    <w:rsid w:val="00A503E1"/>
    <w:rsid w:val="00A559FA"/>
    <w:rsid w:val="00A721DE"/>
    <w:rsid w:val="00A76087"/>
    <w:rsid w:val="00A77418"/>
    <w:rsid w:val="00A90E3C"/>
    <w:rsid w:val="00A911F8"/>
    <w:rsid w:val="00A936D9"/>
    <w:rsid w:val="00A95E1F"/>
    <w:rsid w:val="00AA174F"/>
    <w:rsid w:val="00AB4DD3"/>
    <w:rsid w:val="00AB5E0B"/>
    <w:rsid w:val="00AD297E"/>
    <w:rsid w:val="00AF07B4"/>
    <w:rsid w:val="00B472F9"/>
    <w:rsid w:val="00B7079A"/>
    <w:rsid w:val="00B91255"/>
    <w:rsid w:val="00BB0A5F"/>
    <w:rsid w:val="00BB2219"/>
    <w:rsid w:val="00BD165D"/>
    <w:rsid w:val="00BD32A2"/>
    <w:rsid w:val="00BD6258"/>
    <w:rsid w:val="00BE4CF9"/>
    <w:rsid w:val="00BE538A"/>
    <w:rsid w:val="00BF5A23"/>
    <w:rsid w:val="00C01A2A"/>
    <w:rsid w:val="00C20FE1"/>
    <w:rsid w:val="00C24896"/>
    <w:rsid w:val="00C32EB9"/>
    <w:rsid w:val="00C64E01"/>
    <w:rsid w:val="00C80D6E"/>
    <w:rsid w:val="00CA4C63"/>
    <w:rsid w:val="00CC36B6"/>
    <w:rsid w:val="00CD20CA"/>
    <w:rsid w:val="00CD657C"/>
    <w:rsid w:val="00CE2D92"/>
    <w:rsid w:val="00CE3C52"/>
    <w:rsid w:val="00CE47B8"/>
    <w:rsid w:val="00CF769A"/>
    <w:rsid w:val="00D07DB1"/>
    <w:rsid w:val="00D17D6F"/>
    <w:rsid w:val="00D20923"/>
    <w:rsid w:val="00D3099E"/>
    <w:rsid w:val="00D358D2"/>
    <w:rsid w:val="00D37850"/>
    <w:rsid w:val="00D37C18"/>
    <w:rsid w:val="00D439E7"/>
    <w:rsid w:val="00D4774B"/>
    <w:rsid w:val="00D47DAC"/>
    <w:rsid w:val="00D47F9E"/>
    <w:rsid w:val="00D528E4"/>
    <w:rsid w:val="00D5374E"/>
    <w:rsid w:val="00D61893"/>
    <w:rsid w:val="00D62770"/>
    <w:rsid w:val="00D71B17"/>
    <w:rsid w:val="00D74B37"/>
    <w:rsid w:val="00D86786"/>
    <w:rsid w:val="00DA192C"/>
    <w:rsid w:val="00DA212D"/>
    <w:rsid w:val="00DB0896"/>
    <w:rsid w:val="00DB5AF5"/>
    <w:rsid w:val="00DD1C9E"/>
    <w:rsid w:val="00DD4EA4"/>
    <w:rsid w:val="00DD5D25"/>
    <w:rsid w:val="00E0577E"/>
    <w:rsid w:val="00E362C8"/>
    <w:rsid w:val="00E56D38"/>
    <w:rsid w:val="00E6412A"/>
    <w:rsid w:val="00E7674E"/>
    <w:rsid w:val="00E76C7A"/>
    <w:rsid w:val="00E87B71"/>
    <w:rsid w:val="00E900D0"/>
    <w:rsid w:val="00E91288"/>
    <w:rsid w:val="00E94FFF"/>
    <w:rsid w:val="00E96678"/>
    <w:rsid w:val="00EA46D1"/>
    <w:rsid w:val="00EA574D"/>
    <w:rsid w:val="00EA7F03"/>
    <w:rsid w:val="00ED4314"/>
    <w:rsid w:val="00EE7699"/>
    <w:rsid w:val="00EE7E3C"/>
    <w:rsid w:val="00EF0BEA"/>
    <w:rsid w:val="00EF58BA"/>
    <w:rsid w:val="00F0378E"/>
    <w:rsid w:val="00F17134"/>
    <w:rsid w:val="00F27C0F"/>
    <w:rsid w:val="00F32564"/>
    <w:rsid w:val="00F35223"/>
    <w:rsid w:val="00F43FAD"/>
    <w:rsid w:val="00F51166"/>
    <w:rsid w:val="00F5331B"/>
    <w:rsid w:val="00F5779B"/>
    <w:rsid w:val="00F66A97"/>
    <w:rsid w:val="00F67B48"/>
    <w:rsid w:val="00FA047F"/>
    <w:rsid w:val="00FB1543"/>
    <w:rsid w:val="00FB1691"/>
    <w:rsid w:val="00FC0DBA"/>
    <w:rsid w:val="00FD081D"/>
    <w:rsid w:val="00FD2117"/>
    <w:rsid w:val="00FF0C59"/>
    <w:rsid w:val="00FF30E1"/>
    <w:rsid w:val="00FF3F43"/>
    <w:rsid w:val="00FF7D87"/>
    <w:rsid w:val="00FF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96FC6"/>
    <w:rPr>
      <w:i/>
      <w:iCs/>
    </w:rPr>
  </w:style>
  <w:style w:type="character" w:customStyle="1" w:styleId="cosearchterm">
    <w:name w:val="co_searchterm"/>
    <w:basedOn w:val="DefaultParagraphFont"/>
    <w:rsid w:val="00FF7FA1"/>
  </w:style>
  <w:style w:type="paragraph" w:styleId="BalloonText">
    <w:name w:val="Balloon Text"/>
    <w:basedOn w:val="Normal"/>
    <w:link w:val="BalloonTextChar"/>
    <w:uiPriority w:val="99"/>
    <w:semiHidden/>
    <w:unhideWhenUsed/>
    <w:rsid w:val="004A0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11D"/>
    <w:rPr>
      <w:rFonts w:ascii="Tahoma" w:hAnsi="Tahoma" w:cs="Tahoma"/>
      <w:sz w:val="16"/>
      <w:szCs w:val="16"/>
    </w:rPr>
  </w:style>
  <w:style w:type="character" w:customStyle="1" w:styleId="costarpage">
    <w:name w:val="co_starpage"/>
    <w:basedOn w:val="DefaultParagraphFont"/>
    <w:rsid w:val="001301C5"/>
  </w:style>
  <w:style w:type="paragraph" w:styleId="Header">
    <w:name w:val="header"/>
    <w:basedOn w:val="Normal"/>
    <w:link w:val="HeaderChar"/>
    <w:uiPriority w:val="99"/>
    <w:unhideWhenUsed/>
    <w:rsid w:val="00AF0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7B4"/>
  </w:style>
  <w:style w:type="paragraph" w:styleId="Footer">
    <w:name w:val="footer"/>
    <w:basedOn w:val="Normal"/>
    <w:link w:val="FooterChar"/>
    <w:uiPriority w:val="99"/>
    <w:unhideWhenUsed/>
    <w:rsid w:val="00AF0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7B4"/>
  </w:style>
  <w:style w:type="paragraph" w:styleId="ListParagraph">
    <w:name w:val="List Paragraph"/>
    <w:basedOn w:val="Normal"/>
    <w:uiPriority w:val="34"/>
    <w:qFormat/>
    <w:rsid w:val="00345BA8"/>
    <w:pPr>
      <w:ind w:left="720"/>
      <w:contextualSpacing/>
    </w:pPr>
  </w:style>
  <w:style w:type="paragraph" w:styleId="FootnoteText">
    <w:name w:val="footnote text"/>
    <w:basedOn w:val="Normal"/>
    <w:link w:val="FootnoteTextChar"/>
    <w:uiPriority w:val="99"/>
    <w:semiHidden/>
    <w:rsid w:val="004973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97301"/>
    <w:rPr>
      <w:rFonts w:ascii="Times New Roman" w:eastAsia="Times New Roman" w:hAnsi="Times New Roman" w:cs="Times New Roman"/>
      <w:sz w:val="20"/>
      <w:szCs w:val="20"/>
    </w:rPr>
  </w:style>
  <w:style w:type="character" w:styleId="FootnoteReference">
    <w:name w:val="footnote reference"/>
    <w:uiPriority w:val="99"/>
    <w:semiHidden/>
    <w:rsid w:val="00497301"/>
    <w:rPr>
      <w:vertAlign w:val="superscript"/>
    </w:rPr>
  </w:style>
  <w:style w:type="paragraph" w:styleId="NormalWeb">
    <w:name w:val="Normal (Web)"/>
    <w:basedOn w:val="Normal"/>
    <w:uiPriority w:val="99"/>
    <w:unhideWhenUsed/>
    <w:rsid w:val="004973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35223"/>
    <w:rPr>
      <w:b/>
      <w:bCs/>
    </w:rPr>
  </w:style>
  <w:style w:type="character" w:customStyle="1" w:styleId="apple-converted-space">
    <w:name w:val="apple-converted-space"/>
    <w:rsid w:val="00F35223"/>
  </w:style>
  <w:style w:type="character" w:styleId="Hyperlink">
    <w:name w:val="Hyperlink"/>
    <w:basedOn w:val="DefaultParagraphFont"/>
    <w:uiPriority w:val="99"/>
    <w:semiHidden/>
    <w:unhideWhenUsed/>
    <w:rsid w:val="007D70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96FC6"/>
    <w:rPr>
      <w:i/>
      <w:iCs/>
    </w:rPr>
  </w:style>
  <w:style w:type="character" w:customStyle="1" w:styleId="cosearchterm">
    <w:name w:val="co_searchterm"/>
    <w:basedOn w:val="DefaultParagraphFont"/>
    <w:rsid w:val="00FF7FA1"/>
  </w:style>
  <w:style w:type="paragraph" w:styleId="BalloonText">
    <w:name w:val="Balloon Text"/>
    <w:basedOn w:val="Normal"/>
    <w:link w:val="BalloonTextChar"/>
    <w:uiPriority w:val="99"/>
    <w:semiHidden/>
    <w:unhideWhenUsed/>
    <w:rsid w:val="004A0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11D"/>
    <w:rPr>
      <w:rFonts w:ascii="Tahoma" w:hAnsi="Tahoma" w:cs="Tahoma"/>
      <w:sz w:val="16"/>
      <w:szCs w:val="16"/>
    </w:rPr>
  </w:style>
  <w:style w:type="character" w:customStyle="1" w:styleId="costarpage">
    <w:name w:val="co_starpage"/>
    <w:basedOn w:val="DefaultParagraphFont"/>
    <w:rsid w:val="001301C5"/>
  </w:style>
  <w:style w:type="paragraph" w:styleId="Header">
    <w:name w:val="header"/>
    <w:basedOn w:val="Normal"/>
    <w:link w:val="HeaderChar"/>
    <w:uiPriority w:val="99"/>
    <w:unhideWhenUsed/>
    <w:rsid w:val="00AF0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7B4"/>
  </w:style>
  <w:style w:type="paragraph" w:styleId="Footer">
    <w:name w:val="footer"/>
    <w:basedOn w:val="Normal"/>
    <w:link w:val="FooterChar"/>
    <w:uiPriority w:val="99"/>
    <w:unhideWhenUsed/>
    <w:rsid w:val="00AF0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7B4"/>
  </w:style>
  <w:style w:type="paragraph" w:styleId="ListParagraph">
    <w:name w:val="List Paragraph"/>
    <w:basedOn w:val="Normal"/>
    <w:uiPriority w:val="34"/>
    <w:qFormat/>
    <w:rsid w:val="00345BA8"/>
    <w:pPr>
      <w:ind w:left="720"/>
      <w:contextualSpacing/>
    </w:pPr>
  </w:style>
  <w:style w:type="paragraph" w:styleId="FootnoteText">
    <w:name w:val="footnote text"/>
    <w:basedOn w:val="Normal"/>
    <w:link w:val="FootnoteTextChar"/>
    <w:uiPriority w:val="99"/>
    <w:semiHidden/>
    <w:rsid w:val="004973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97301"/>
    <w:rPr>
      <w:rFonts w:ascii="Times New Roman" w:eastAsia="Times New Roman" w:hAnsi="Times New Roman" w:cs="Times New Roman"/>
      <w:sz w:val="20"/>
      <w:szCs w:val="20"/>
    </w:rPr>
  </w:style>
  <w:style w:type="character" w:styleId="FootnoteReference">
    <w:name w:val="footnote reference"/>
    <w:uiPriority w:val="99"/>
    <w:semiHidden/>
    <w:rsid w:val="00497301"/>
    <w:rPr>
      <w:vertAlign w:val="superscript"/>
    </w:rPr>
  </w:style>
  <w:style w:type="paragraph" w:styleId="NormalWeb">
    <w:name w:val="Normal (Web)"/>
    <w:basedOn w:val="Normal"/>
    <w:uiPriority w:val="99"/>
    <w:unhideWhenUsed/>
    <w:rsid w:val="004973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35223"/>
    <w:rPr>
      <w:b/>
      <w:bCs/>
    </w:rPr>
  </w:style>
  <w:style w:type="character" w:customStyle="1" w:styleId="apple-converted-space">
    <w:name w:val="apple-converted-space"/>
    <w:rsid w:val="00F35223"/>
  </w:style>
  <w:style w:type="character" w:styleId="Hyperlink">
    <w:name w:val="Hyperlink"/>
    <w:basedOn w:val="DefaultParagraphFont"/>
    <w:uiPriority w:val="99"/>
    <w:semiHidden/>
    <w:unhideWhenUsed/>
    <w:rsid w:val="007D70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6541">
      <w:bodyDiv w:val="1"/>
      <w:marLeft w:val="0"/>
      <w:marRight w:val="0"/>
      <w:marTop w:val="0"/>
      <w:marBottom w:val="0"/>
      <w:divBdr>
        <w:top w:val="none" w:sz="0" w:space="0" w:color="auto"/>
        <w:left w:val="none" w:sz="0" w:space="0" w:color="auto"/>
        <w:bottom w:val="none" w:sz="0" w:space="0" w:color="auto"/>
        <w:right w:val="none" w:sz="0" w:space="0" w:color="auto"/>
      </w:divBdr>
      <w:divsChild>
        <w:div w:id="1816609026">
          <w:marLeft w:val="0"/>
          <w:marRight w:val="0"/>
          <w:marTop w:val="0"/>
          <w:marBottom w:val="0"/>
          <w:divBdr>
            <w:top w:val="none" w:sz="0" w:space="0" w:color="auto"/>
            <w:left w:val="none" w:sz="0" w:space="0" w:color="auto"/>
            <w:bottom w:val="none" w:sz="0" w:space="0" w:color="auto"/>
            <w:right w:val="none" w:sz="0" w:space="0" w:color="auto"/>
          </w:divBdr>
          <w:divsChild>
            <w:div w:id="11026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86670">
      <w:bodyDiv w:val="1"/>
      <w:marLeft w:val="0"/>
      <w:marRight w:val="0"/>
      <w:marTop w:val="0"/>
      <w:marBottom w:val="0"/>
      <w:divBdr>
        <w:top w:val="none" w:sz="0" w:space="0" w:color="auto"/>
        <w:left w:val="none" w:sz="0" w:space="0" w:color="auto"/>
        <w:bottom w:val="none" w:sz="0" w:space="0" w:color="auto"/>
        <w:right w:val="none" w:sz="0" w:space="0" w:color="auto"/>
      </w:divBdr>
      <w:divsChild>
        <w:div w:id="914168367">
          <w:marLeft w:val="0"/>
          <w:marRight w:val="0"/>
          <w:marTop w:val="0"/>
          <w:marBottom w:val="0"/>
          <w:divBdr>
            <w:top w:val="none" w:sz="0" w:space="0" w:color="auto"/>
            <w:left w:val="none" w:sz="0" w:space="0" w:color="auto"/>
            <w:bottom w:val="none" w:sz="0" w:space="0" w:color="auto"/>
            <w:right w:val="none" w:sz="0" w:space="0" w:color="auto"/>
          </w:divBdr>
          <w:divsChild>
            <w:div w:id="14144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11305">
      <w:bodyDiv w:val="1"/>
      <w:marLeft w:val="0"/>
      <w:marRight w:val="0"/>
      <w:marTop w:val="0"/>
      <w:marBottom w:val="0"/>
      <w:divBdr>
        <w:top w:val="none" w:sz="0" w:space="0" w:color="auto"/>
        <w:left w:val="none" w:sz="0" w:space="0" w:color="auto"/>
        <w:bottom w:val="none" w:sz="0" w:space="0" w:color="auto"/>
        <w:right w:val="none" w:sz="0" w:space="0" w:color="auto"/>
      </w:divBdr>
      <w:divsChild>
        <w:div w:id="1064065117">
          <w:marLeft w:val="0"/>
          <w:marRight w:val="0"/>
          <w:marTop w:val="0"/>
          <w:marBottom w:val="0"/>
          <w:divBdr>
            <w:top w:val="none" w:sz="0" w:space="0" w:color="auto"/>
            <w:left w:val="none" w:sz="0" w:space="0" w:color="auto"/>
            <w:bottom w:val="none" w:sz="0" w:space="0" w:color="auto"/>
            <w:right w:val="none" w:sz="0" w:space="0" w:color="auto"/>
          </w:divBdr>
          <w:divsChild>
            <w:div w:id="11345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9989">
      <w:bodyDiv w:val="1"/>
      <w:marLeft w:val="0"/>
      <w:marRight w:val="0"/>
      <w:marTop w:val="0"/>
      <w:marBottom w:val="0"/>
      <w:divBdr>
        <w:top w:val="none" w:sz="0" w:space="0" w:color="auto"/>
        <w:left w:val="none" w:sz="0" w:space="0" w:color="auto"/>
        <w:bottom w:val="none" w:sz="0" w:space="0" w:color="auto"/>
        <w:right w:val="none" w:sz="0" w:space="0" w:color="auto"/>
      </w:divBdr>
      <w:divsChild>
        <w:div w:id="1020593380">
          <w:marLeft w:val="0"/>
          <w:marRight w:val="0"/>
          <w:marTop w:val="0"/>
          <w:marBottom w:val="0"/>
          <w:divBdr>
            <w:top w:val="none" w:sz="0" w:space="0" w:color="auto"/>
            <w:left w:val="none" w:sz="0" w:space="0" w:color="auto"/>
            <w:bottom w:val="none" w:sz="0" w:space="0" w:color="auto"/>
            <w:right w:val="none" w:sz="0" w:space="0" w:color="auto"/>
          </w:divBdr>
          <w:divsChild>
            <w:div w:id="21172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86884">
      <w:bodyDiv w:val="1"/>
      <w:marLeft w:val="0"/>
      <w:marRight w:val="0"/>
      <w:marTop w:val="0"/>
      <w:marBottom w:val="0"/>
      <w:divBdr>
        <w:top w:val="none" w:sz="0" w:space="0" w:color="auto"/>
        <w:left w:val="none" w:sz="0" w:space="0" w:color="auto"/>
        <w:bottom w:val="none" w:sz="0" w:space="0" w:color="auto"/>
        <w:right w:val="none" w:sz="0" w:space="0" w:color="auto"/>
      </w:divBdr>
      <w:divsChild>
        <w:div w:id="573659206">
          <w:marLeft w:val="0"/>
          <w:marRight w:val="0"/>
          <w:marTop w:val="0"/>
          <w:marBottom w:val="0"/>
          <w:divBdr>
            <w:top w:val="none" w:sz="0" w:space="0" w:color="auto"/>
            <w:left w:val="none" w:sz="0" w:space="0" w:color="auto"/>
            <w:bottom w:val="none" w:sz="0" w:space="0" w:color="auto"/>
            <w:right w:val="none" w:sz="0" w:space="0" w:color="auto"/>
          </w:divBdr>
          <w:divsChild>
            <w:div w:id="1001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208">
      <w:bodyDiv w:val="1"/>
      <w:marLeft w:val="0"/>
      <w:marRight w:val="0"/>
      <w:marTop w:val="0"/>
      <w:marBottom w:val="0"/>
      <w:divBdr>
        <w:top w:val="none" w:sz="0" w:space="0" w:color="auto"/>
        <w:left w:val="none" w:sz="0" w:space="0" w:color="auto"/>
        <w:bottom w:val="none" w:sz="0" w:space="0" w:color="auto"/>
        <w:right w:val="none" w:sz="0" w:space="0" w:color="auto"/>
      </w:divBdr>
    </w:div>
    <w:div w:id="805702049">
      <w:bodyDiv w:val="1"/>
      <w:marLeft w:val="0"/>
      <w:marRight w:val="0"/>
      <w:marTop w:val="0"/>
      <w:marBottom w:val="0"/>
      <w:divBdr>
        <w:top w:val="none" w:sz="0" w:space="0" w:color="auto"/>
        <w:left w:val="none" w:sz="0" w:space="0" w:color="auto"/>
        <w:bottom w:val="none" w:sz="0" w:space="0" w:color="auto"/>
        <w:right w:val="none" w:sz="0" w:space="0" w:color="auto"/>
      </w:divBdr>
    </w:div>
    <w:div w:id="891961032">
      <w:bodyDiv w:val="1"/>
      <w:marLeft w:val="0"/>
      <w:marRight w:val="0"/>
      <w:marTop w:val="0"/>
      <w:marBottom w:val="0"/>
      <w:divBdr>
        <w:top w:val="none" w:sz="0" w:space="0" w:color="auto"/>
        <w:left w:val="none" w:sz="0" w:space="0" w:color="auto"/>
        <w:bottom w:val="none" w:sz="0" w:space="0" w:color="auto"/>
        <w:right w:val="none" w:sz="0" w:space="0" w:color="auto"/>
      </w:divBdr>
    </w:div>
    <w:div w:id="943345263">
      <w:bodyDiv w:val="1"/>
      <w:marLeft w:val="0"/>
      <w:marRight w:val="0"/>
      <w:marTop w:val="0"/>
      <w:marBottom w:val="0"/>
      <w:divBdr>
        <w:top w:val="none" w:sz="0" w:space="0" w:color="auto"/>
        <w:left w:val="none" w:sz="0" w:space="0" w:color="auto"/>
        <w:bottom w:val="none" w:sz="0" w:space="0" w:color="auto"/>
        <w:right w:val="none" w:sz="0" w:space="0" w:color="auto"/>
      </w:divBdr>
      <w:divsChild>
        <w:div w:id="1649170009">
          <w:marLeft w:val="0"/>
          <w:marRight w:val="0"/>
          <w:marTop w:val="0"/>
          <w:marBottom w:val="0"/>
          <w:divBdr>
            <w:top w:val="none" w:sz="0" w:space="0" w:color="auto"/>
            <w:left w:val="none" w:sz="0" w:space="0" w:color="auto"/>
            <w:bottom w:val="none" w:sz="0" w:space="0" w:color="auto"/>
            <w:right w:val="none" w:sz="0" w:space="0" w:color="auto"/>
          </w:divBdr>
          <w:divsChild>
            <w:div w:id="108639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97640">
      <w:bodyDiv w:val="1"/>
      <w:marLeft w:val="0"/>
      <w:marRight w:val="0"/>
      <w:marTop w:val="0"/>
      <w:marBottom w:val="0"/>
      <w:divBdr>
        <w:top w:val="none" w:sz="0" w:space="0" w:color="auto"/>
        <w:left w:val="none" w:sz="0" w:space="0" w:color="auto"/>
        <w:bottom w:val="none" w:sz="0" w:space="0" w:color="auto"/>
        <w:right w:val="none" w:sz="0" w:space="0" w:color="auto"/>
      </w:divBdr>
      <w:divsChild>
        <w:div w:id="1976256722">
          <w:marLeft w:val="0"/>
          <w:marRight w:val="0"/>
          <w:marTop w:val="0"/>
          <w:marBottom w:val="0"/>
          <w:divBdr>
            <w:top w:val="none" w:sz="0" w:space="0" w:color="auto"/>
            <w:left w:val="none" w:sz="0" w:space="0" w:color="auto"/>
            <w:bottom w:val="none" w:sz="0" w:space="0" w:color="auto"/>
            <w:right w:val="none" w:sz="0" w:space="0" w:color="auto"/>
          </w:divBdr>
          <w:divsChild>
            <w:div w:id="9182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3009">
      <w:bodyDiv w:val="1"/>
      <w:marLeft w:val="0"/>
      <w:marRight w:val="0"/>
      <w:marTop w:val="0"/>
      <w:marBottom w:val="0"/>
      <w:divBdr>
        <w:top w:val="none" w:sz="0" w:space="0" w:color="auto"/>
        <w:left w:val="none" w:sz="0" w:space="0" w:color="auto"/>
        <w:bottom w:val="none" w:sz="0" w:space="0" w:color="auto"/>
        <w:right w:val="none" w:sz="0" w:space="0" w:color="auto"/>
      </w:divBdr>
      <w:divsChild>
        <w:div w:id="1912621206">
          <w:marLeft w:val="0"/>
          <w:marRight w:val="0"/>
          <w:marTop w:val="0"/>
          <w:marBottom w:val="0"/>
          <w:divBdr>
            <w:top w:val="none" w:sz="0" w:space="0" w:color="auto"/>
            <w:left w:val="none" w:sz="0" w:space="0" w:color="auto"/>
            <w:bottom w:val="none" w:sz="0" w:space="0" w:color="auto"/>
            <w:right w:val="none" w:sz="0" w:space="0" w:color="auto"/>
          </w:divBdr>
          <w:divsChild>
            <w:div w:id="6525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2371">
      <w:bodyDiv w:val="1"/>
      <w:marLeft w:val="0"/>
      <w:marRight w:val="0"/>
      <w:marTop w:val="0"/>
      <w:marBottom w:val="0"/>
      <w:divBdr>
        <w:top w:val="none" w:sz="0" w:space="0" w:color="auto"/>
        <w:left w:val="none" w:sz="0" w:space="0" w:color="auto"/>
        <w:bottom w:val="none" w:sz="0" w:space="0" w:color="auto"/>
        <w:right w:val="none" w:sz="0" w:space="0" w:color="auto"/>
      </w:divBdr>
      <w:divsChild>
        <w:div w:id="2002729246">
          <w:marLeft w:val="0"/>
          <w:marRight w:val="0"/>
          <w:marTop w:val="0"/>
          <w:marBottom w:val="0"/>
          <w:divBdr>
            <w:top w:val="none" w:sz="0" w:space="0" w:color="auto"/>
            <w:left w:val="none" w:sz="0" w:space="0" w:color="auto"/>
            <w:bottom w:val="none" w:sz="0" w:space="0" w:color="auto"/>
            <w:right w:val="none" w:sz="0" w:space="0" w:color="auto"/>
          </w:divBdr>
          <w:divsChild>
            <w:div w:id="11687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8979">
      <w:bodyDiv w:val="1"/>
      <w:marLeft w:val="0"/>
      <w:marRight w:val="0"/>
      <w:marTop w:val="0"/>
      <w:marBottom w:val="0"/>
      <w:divBdr>
        <w:top w:val="none" w:sz="0" w:space="0" w:color="auto"/>
        <w:left w:val="none" w:sz="0" w:space="0" w:color="auto"/>
        <w:bottom w:val="none" w:sz="0" w:space="0" w:color="auto"/>
        <w:right w:val="none" w:sz="0" w:space="0" w:color="auto"/>
      </w:divBdr>
      <w:divsChild>
        <w:div w:id="1920213684">
          <w:marLeft w:val="0"/>
          <w:marRight w:val="0"/>
          <w:marTop w:val="0"/>
          <w:marBottom w:val="0"/>
          <w:divBdr>
            <w:top w:val="none" w:sz="0" w:space="0" w:color="auto"/>
            <w:left w:val="none" w:sz="0" w:space="0" w:color="auto"/>
            <w:bottom w:val="none" w:sz="0" w:space="0" w:color="auto"/>
            <w:right w:val="none" w:sz="0" w:space="0" w:color="auto"/>
          </w:divBdr>
          <w:divsChild>
            <w:div w:id="886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4842">
      <w:bodyDiv w:val="1"/>
      <w:marLeft w:val="0"/>
      <w:marRight w:val="0"/>
      <w:marTop w:val="0"/>
      <w:marBottom w:val="0"/>
      <w:divBdr>
        <w:top w:val="none" w:sz="0" w:space="0" w:color="auto"/>
        <w:left w:val="none" w:sz="0" w:space="0" w:color="auto"/>
        <w:bottom w:val="none" w:sz="0" w:space="0" w:color="auto"/>
        <w:right w:val="none" w:sz="0" w:space="0" w:color="auto"/>
      </w:divBdr>
      <w:divsChild>
        <w:div w:id="1106389367">
          <w:marLeft w:val="0"/>
          <w:marRight w:val="0"/>
          <w:marTop w:val="0"/>
          <w:marBottom w:val="0"/>
          <w:divBdr>
            <w:top w:val="none" w:sz="0" w:space="0" w:color="auto"/>
            <w:left w:val="none" w:sz="0" w:space="0" w:color="auto"/>
            <w:bottom w:val="none" w:sz="0" w:space="0" w:color="auto"/>
            <w:right w:val="none" w:sz="0" w:space="0" w:color="auto"/>
          </w:divBdr>
          <w:divsChild>
            <w:div w:id="13682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5661">
      <w:bodyDiv w:val="1"/>
      <w:marLeft w:val="0"/>
      <w:marRight w:val="0"/>
      <w:marTop w:val="0"/>
      <w:marBottom w:val="0"/>
      <w:divBdr>
        <w:top w:val="none" w:sz="0" w:space="0" w:color="auto"/>
        <w:left w:val="none" w:sz="0" w:space="0" w:color="auto"/>
        <w:bottom w:val="none" w:sz="0" w:space="0" w:color="auto"/>
        <w:right w:val="none" w:sz="0" w:space="0" w:color="auto"/>
      </w:divBdr>
      <w:divsChild>
        <w:div w:id="876240378">
          <w:marLeft w:val="0"/>
          <w:marRight w:val="0"/>
          <w:marTop w:val="0"/>
          <w:marBottom w:val="0"/>
          <w:divBdr>
            <w:top w:val="none" w:sz="0" w:space="0" w:color="auto"/>
            <w:left w:val="none" w:sz="0" w:space="0" w:color="auto"/>
            <w:bottom w:val="none" w:sz="0" w:space="0" w:color="auto"/>
            <w:right w:val="none" w:sz="0" w:space="0" w:color="auto"/>
          </w:divBdr>
          <w:divsChild>
            <w:div w:id="530269246">
              <w:marLeft w:val="0"/>
              <w:marRight w:val="0"/>
              <w:marTop w:val="0"/>
              <w:marBottom w:val="0"/>
              <w:divBdr>
                <w:top w:val="none" w:sz="0" w:space="0" w:color="auto"/>
                <w:left w:val="none" w:sz="0" w:space="0" w:color="auto"/>
                <w:bottom w:val="none" w:sz="0" w:space="0" w:color="auto"/>
                <w:right w:val="none" w:sz="0" w:space="0" w:color="auto"/>
              </w:divBdr>
              <w:divsChild>
                <w:div w:id="1435785955">
                  <w:marLeft w:val="0"/>
                  <w:marRight w:val="0"/>
                  <w:marTop w:val="0"/>
                  <w:marBottom w:val="0"/>
                  <w:divBdr>
                    <w:top w:val="none" w:sz="0" w:space="0" w:color="auto"/>
                    <w:left w:val="none" w:sz="0" w:space="0" w:color="auto"/>
                    <w:bottom w:val="none" w:sz="0" w:space="0" w:color="auto"/>
                    <w:right w:val="none" w:sz="0" w:space="0" w:color="auto"/>
                  </w:divBdr>
                </w:div>
                <w:div w:id="654650432">
                  <w:marLeft w:val="0"/>
                  <w:marRight w:val="0"/>
                  <w:marTop w:val="0"/>
                  <w:marBottom w:val="0"/>
                  <w:divBdr>
                    <w:top w:val="none" w:sz="0" w:space="0" w:color="auto"/>
                    <w:left w:val="none" w:sz="0" w:space="0" w:color="auto"/>
                    <w:bottom w:val="none" w:sz="0" w:space="0" w:color="auto"/>
                    <w:right w:val="none" w:sz="0" w:space="0" w:color="auto"/>
                  </w:divBdr>
                  <w:divsChild>
                    <w:div w:id="270431735">
                      <w:marLeft w:val="0"/>
                      <w:marRight w:val="0"/>
                      <w:marTop w:val="0"/>
                      <w:marBottom w:val="0"/>
                      <w:divBdr>
                        <w:top w:val="none" w:sz="0" w:space="0" w:color="auto"/>
                        <w:left w:val="none" w:sz="0" w:space="0" w:color="auto"/>
                        <w:bottom w:val="none" w:sz="0" w:space="0" w:color="auto"/>
                        <w:right w:val="none" w:sz="0" w:space="0" w:color="auto"/>
                      </w:divBdr>
                      <w:divsChild>
                        <w:div w:id="2037190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9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5842">
              <w:marLeft w:val="0"/>
              <w:marRight w:val="0"/>
              <w:marTop w:val="0"/>
              <w:marBottom w:val="0"/>
              <w:divBdr>
                <w:top w:val="none" w:sz="0" w:space="0" w:color="auto"/>
                <w:left w:val="none" w:sz="0" w:space="0" w:color="auto"/>
                <w:bottom w:val="none" w:sz="0" w:space="0" w:color="auto"/>
                <w:right w:val="none" w:sz="0" w:space="0" w:color="auto"/>
              </w:divBdr>
              <w:divsChild>
                <w:div w:id="401954665">
                  <w:marLeft w:val="0"/>
                  <w:marRight w:val="0"/>
                  <w:marTop w:val="0"/>
                  <w:marBottom w:val="0"/>
                  <w:divBdr>
                    <w:top w:val="none" w:sz="0" w:space="0" w:color="auto"/>
                    <w:left w:val="none" w:sz="0" w:space="0" w:color="auto"/>
                    <w:bottom w:val="none" w:sz="0" w:space="0" w:color="auto"/>
                    <w:right w:val="none" w:sz="0" w:space="0" w:color="auto"/>
                  </w:divBdr>
                </w:div>
              </w:divsChild>
            </w:div>
            <w:div w:id="395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709">
      <w:bodyDiv w:val="1"/>
      <w:marLeft w:val="0"/>
      <w:marRight w:val="0"/>
      <w:marTop w:val="0"/>
      <w:marBottom w:val="0"/>
      <w:divBdr>
        <w:top w:val="none" w:sz="0" w:space="0" w:color="auto"/>
        <w:left w:val="none" w:sz="0" w:space="0" w:color="auto"/>
        <w:bottom w:val="none" w:sz="0" w:space="0" w:color="auto"/>
        <w:right w:val="none" w:sz="0" w:space="0" w:color="auto"/>
      </w:divBdr>
      <w:divsChild>
        <w:div w:id="587809042">
          <w:marLeft w:val="0"/>
          <w:marRight w:val="0"/>
          <w:marTop w:val="0"/>
          <w:marBottom w:val="0"/>
          <w:divBdr>
            <w:top w:val="none" w:sz="0" w:space="0" w:color="auto"/>
            <w:left w:val="none" w:sz="0" w:space="0" w:color="auto"/>
            <w:bottom w:val="none" w:sz="0" w:space="0" w:color="auto"/>
            <w:right w:val="none" w:sz="0" w:space="0" w:color="auto"/>
          </w:divBdr>
          <w:divsChild>
            <w:div w:id="13158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A5C76-1FAA-4E9A-95C0-27417E9E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1</Pages>
  <Words>7342</Words>
  <Characters>37072</Characters>
  <Application>Microsoft Office Word</Application>
  <DocSecurity>0</DocSecurity>
  <PresentationFormat>14|.DOCX</PresentationFormat>
  <Lines>571</Lines>
  <Paragraphs>150</Paragraphs>
  <ScaleCrop>false</ScaleCrop>
  <HeadingPairs>
    <vt:vector size="2" baseType="variant">
      <vt:variant>
        <vt:lpstr>Title</vt:lpstr>
      </vt:variant>
      <vt:variant>
        <vt:i4>1</vt:i4>
      </vt:variant>
    </vt:vector>
  </HeadingPairs>
  <TitlesOfParts>
    <vt:vector size="1" baseType="lpstr">
      <vt:lpstr>NBI: Quiet Title Law: Overview and Update 12_5_2016 (SMP) (00340902).DOCX</vt:lpstr>
    </vt:vector>
  </TitlesOfParts>
  <Company/>
  <LinksUpToDate>false</LinksUpToDate>
  <CharactersWithSpaces>44529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NBI: Quiet Title Law: Overview and Update 12_5_2016 (SMP) (00340902).DOCX</dc:title>
  <dc:subject>00340902.DOCX / /Font=8</dc:subject>
  <dc:creator>Ashley McNair</dc:creator>
  <cp:keywords/>
  <dc:description>DO NOT STAMP </dc:description>
  <cp:lastModifiedBy>Steve Parham</cp:lastModifiedBy>
  <cp:revision>28</cp:revision>
  <cp:lastPrinted>2016-10-25T18:52:00Z</cp:lastPrinted>
  <dcterms:created xsi:type="dcterms:W3CDTF">2016-09-19T18:45:00Z</dcterms:created>
  <dcterms:modified xsi:type="dcterms:W3CDTF">2016-10-25T20:18:00Z</dcterms:modified>
</cp:coreProperties>
</file>