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D94BF" w14:textId="77777777" w:rsidR="00F13E3E" w:rsidRDefault="00F13E3E" w:rsidP="0029438A">
      <w:pPr>
        <w:spacing w:line="240" w:lineRule="auto"/>
      </w:pPr>
    </w:p>
    <w:p w14:paraId="1E9036A2" w14:textId="77777777" w:rsidR="00F13E3E" w:rsidRPr="00886E88" w:rsidRDefault="00F13E3E" w:rsidP="0029438A">
      <w:pPr>
        <w:pStyle w:val="DatePGFM"/>
        <w:spacing w:before="0" w:after="240"/>
        <w:rPr>
          <w:rFonts w:ascii="Georgia" w:hAnsi="Georgia"/>
          <w:b/>
        </w:rPr>
      </w:pPr>
      <w:r w:rsidRPr="00886E88">
        <w:rPr>
          <w:rFonts w:ascii="Georgia" w:hAnsi="Georgia"/>
          <w:b/>
        </w:rPr>
        <w:t>MEMORANDUM</w:t>
      </w:r>
    </w:p>
    <w:tbl>
      <w:tblPr>
        <w:tblW w:w="0" w:type="auto"/>
        <w:tblInd w:w="108" w:type="dxa"/>
        <w:tblBorders>
          <w:top w:val="single" w:sz="18" w:space="0" w:color="auto"/>
          <w:bottom w:val="single" w:sz="18" w:space="0" w:color="auto"/>
        </w:tblBorders>
        <w:tblLayout w:type="fixed"/>
        <w:tblLook w:val="0000" w:firstRow="0" w:lastRow="0" w:firstColumn="0" w:lastColumn="0" w:noHBand="0" w:noVBand="0"/>
      </w:tblPr>
      <w:tblGrid>
        <w:gridCol w:w="900"/>
        <w:gridCol w:w="8460"/>
      </w:tblGrid>
      <w:tr w:rsidR="00F13E3E" w:rsidRPr="00793D49" w14:paraId="2B662BE4" w14:textId="77777777" w:rsidTr="009B0627">
        <w:tc>
          <w:tcPr>
            <w:tcW w:w="900" w:type="dxa"/>
          </w:tcPr>
          <w:p w14:paraId="1D8CB720" w14:textId="77777777" w:rsidR="00F13E3E" w:rsidRPr="00793D49" w:rsidRDefault="00F13E3E" w:rsidP="0029438A">
            <w:pPr>
              <w:pStyle w:val="HeadingPGFM"/>
              <w:spacing w:after="240"/>
              <w:ind w:left="-115"/>
              <w:rPr>
                <w:rFonts w:ascii="Georgia" w:hAnsi="Georgia"/>
              </w:rPr>
            </w:pPr>
            <w:r w:rsidRPr="00793D49">
              <w:rPr>
                <w:rFonts w:ascii="Georgia" w:hAnsi="Georgia"/>
              </w:rPr>
              <w:t xml:space="preserve">Date:  </w:t>
            </w:r>
          </w:p>
        </w:tc>
        <w:tc>
          <w:tcPr>
            <w:tcW w:w="8460" w:type="dxa"/>
          </w:tcPr>
          <w:p w14:paraId="3A5A0B09" w14:textId="77777777" w:rsidR="00F13E3E" w:rsidRPr="00793D49" w:rsidRDefault="00545BE1" w:rsidP="0029438A">
            <w:pPr>
              <w:pStyle w:val="HeadingPGFM"/>
              <w:spacing w:after="240"/>
              <w:ind w:left="-115"/>
              <w:rPr>
                <w:rFonts w:ascii="Georgia" w:hAnsi="Georgia"/>
              </w:rPr>
            </w:pPr>
            <w:r>
              <w:rPr>
                <w:rFonts w:ascii="Georgia" w:hAnsi="Georgia"/>
              </w:rPr>
              <w:t>April 2</w:t>
            </w:r>
            <w:r w:rsidR="00F13E3E">
              <w:rPr>
                <w:rFonts w:ascii="Georgia" w:hAnsi="Georgia"/>
              </w:rPr>
              <w:t>, 2020</w:t>
            </w:r>
          </w:p>
        </w:tc>
      </w:tr>
      <w:tr w:rsidR="00F13E3E" w:rsidRPr="00793D49" w14:paraId="49A537B1" w14:textId="77777777" w:rsidTr="009B0627">
        <w:trPr>
          <w:trHeight w:val="432"/>
        </w:trPr>
        <w:tc>
          <w:tcPr>
            <w:tcW w:w="900" w:type="dxa"/>
          </w:tcPr>
          <w:p w14:paraId="09AE9895" w14:textId="77777777" w:rsidR="00F13E3E" w:rsidRPr="00793D49" w:rsidRDefault="00F13E3E" w:rsidP="0029438A">
            <w:pPr>
              <w:pStyle w:val="HeadingPGFM"/>
              <w:ind w:left="-108"/>
              <w:rPr>
                <w:rFonts w:ascii="Georgia" w:hAnsi="Georgia"/>
              </w:rPr>
            </w:pPr>
            <w:r w:rsidRPr="00793D49">
              <w:rPr>
                <w:rFonts w:ascii="Georgia" w:hAnsi="Georgia"/>
              </w:rPr>
              <w:t>To:</w:t>
            </w:r>
          </w:p>
          <w:p w14:paraId="0A203BF0" w14:textId="77777777" w:rsidR="00F13E3E" w:rsidRPr="00793D49" w:rsidRDefault="00F13E3E" w:rsidP="0029438A">
            <w:pPr>
              <w:pStyle w:val="HeadingPGFM"/>
              <w:ind w:left="-108"/>
              <w:rPr>
                <w:rFonts w:ascii="Georgia" w:hAnsi="Georgia"/>
              </w:rPr>
            </w:pPr>
          </w:p>
        </w:tc>
        <w:tc>
          <w:tcPr>
            <w:tcW w:w="8460" w:type="dxa"/>
          </w:tcPr>
          <w:p w14:paraId="11A81552" w14:textId="77777777" w:rsidR="00F13E3E" w:rsidRDefault="00F13E3E" w:rsidP="0029438A">
            <w:pPr>
              <w:pStyle w:val="HeadingPGFM"/>
              <w:ind w:left="-108"/>
              <w:rPr>
                <w:rFonts w:ascii="Georgia" w:hAnsi="Georgia"/>
              </w:rPr>
            </w:pPr>
            <w:r>
              <w:rPr>
                <w:rFonts w:ascii="Georgia" w:hAnsi="Georgia"/>
              </w:rPr>
              <w:t xml:space="preserve">Ryan Pumpian; Robert Mollohan </w:t>
            </w:r>
          </w:p>
          <w:p w14:paraId="7846A7ED" w14:textId="77777777" w:rsidR="00F13E3E" w:rsidRPr="00793D49" w:rsidRDefault="00F13E3E" w:rsidP="0029438A">
            <w:pPr>
              <w:pStyle w:val="HeadingPGFM"/>
              <w:ind w:left="-108"/>
              <w:rPr>
                <w:rFonts w:ascii="Georgia" w:hAnsi="Georgia"/>
              </w:rPr>
            </w:pPr>
          </w:p>
        </w:tc>
      </w:tr>
      <w:tr w:rsidR="00F13E3E" w:rsidRPr="00793D49" w14:paraId="68027117" w14:textId="77777777" w:rsidTr="009B0627">
        <w:tc>
          <w:tcPr>
            <w:tcW w:w="900" w:type="dxa"/>
          </w:tcPr>
          <w:p w14:paraId="6256603C" w14:textId="77777777" w:rsidR="00F13E3E" w:rsidRPr="00793D49" w:rsidRDefault="00F13E3E" w:rsidP="0029438A">
            <w:pPr>
              <w:pStyle w:val="HeadingPGFM"/>
              <w:ind w:left="-108"/>
              <w:rPr>
                <w:rFonts w:ascii="Georgia" w:hAnsi="Georgia"/>
              </w:rPr>
            </w:pPr>
            <w:r w:rsidRPr="00793D49">
              <w:rPr>
                <w:rFonts w:ascii="Georgia" w:hAnsi="Georgia"/>
              </w:rPr>
              <w:t>From:</w:t>
            </w:r>
          </w:p>
          <w:p w14:paraId="26B6BCF5" w14:textId="77777777" w:rsidR="00F13E3E" w:rsidRPr="00793D49" w:rsidRDefault="00F13E3E" w:rsidP="0029438A">
            <w:pPr>
              <w:pStyle w:val="HeadingPGFM"/>
              <w:ind w:left="-108"/>
              <w:rPr>
                <w:rFonts w:ascii="Georgia" w:hAnsi="Georgia"/>
              </w:rPr>
            </w:pPr>
          </w:p>
        </w:tc>
        <w:tc>
          <w:tcPr>
            <w:tcW w:w="8460" w:type="dxa"/>
          </w:tcPr>
          <w:p w14:paraId="4B7BD0B4" w14:textId="77777777" w:rsidR="00F13E3E" w:rsidRPr="00793D49" w:rsidRDefault="00F13E3E" w:rsidP="0029438A">
            <w:pPr>
              <w:pStyle w:val="HeadingPGFM"/>
              <w:ind w:left="-108"/>
              <w:rPr>
                <w:rFonts w:ascii="Georgia" w:hAnsi="Georgia"/>
              </w:rPr>
            </w:pPr>
            <w:r>
              <w:rPr>
                <w:rFonts w:ascii="Georgia" w:hAnsi="Georgia"/>
              </w:rPr>
              <w:t xml:space="preserve">Ben Dell’Orto </w:t>
            </w:r>
          </w:p>
        </w:tc>
      </w:tr>
      <w:tr w:rsidR="00F13E3E" w:rsidRPr="00793D49" w14:paraId="2B863944" w14:textId="77777777" w:rsidTr="009B0627">
        <w:tc>
          <w:tcPr>
            <w:tcW w:w="900" w:type="dxa"/>
          </w:tcPr>
          <w:p w14:paraId="40B9682E" w14:textId="77777777" w:rsidR="00F13E3E" w:rsidRPr="00793D49" w:rsidRDefault="00F13E3E" w:rsidP="0029438A">
            <w:pPr>
              <w:pStyle w:val="HeadingPGFM"/>
              <w:ind w:left="-108"/>
              <w:rPr>
                <w:rFonts w:ascii="Georgia" w:hAnsi="Georgia"/>
              </w:rPr>
            </w:pPr>
            <w:r w:rsidRPr="00793D49">
              <w:rPr>
                <w:rFonts w:ascii="Georgia" w:hAnsi="Georgia"/>
              </w:rPr>
              <w:t>Re:</w:t>
            </w:r>
          </w:p>
        </w:tc>
        <w:tc>
          <w:tcPr>
            <w:tcW w:w="8460" w:type="dxa"/>
          </w:tcPr>
          <w:p w14:paraId="23DE8AF9" w14:textId="66AE3212" w:rsidR="00F13E3E" w:rsidRPr="00793D49" w:rsidRDefault="005E3A2E" w:rsidP="0029438A">
            <w:pPr>
              <w:pStyle w:val="HeadingPGFM"/>
              <w:ind w:left="-108"/>
              <w:rPr>
                <w:rFonts w:ascii="Georgia" w:hAnsi="Georgia"/>
              </w:rPr>
            </w:pPr>
            <w:r>
              <w:rPr>
                <w:rFonts w:ascii="Georgia" w:hAnsi="Georgia"/>
              </w:rPr>
              <w:t>Common Issues Arising in Insurance Coverage Actions</w:t>
            </w:r>
          </w:p>
        </w:tc>
      </w:tr>
    </w:tbl>
    <w:p w14:paraId="574FB221" w14:textId="77777777" w:rsidR="00F13E3E" w:rsidRDefault="00F13E3E" w:rsidP="0029438A">
      <w:pPr>
        <w:spacing w:line="240" w:lineRule="auto"/>
      </w:pPr>
    </w:p>
    <w:p w14:paraId="1AEA0521" w14:textId="2EDDF1D6" w:rsidR="00C362E2" w:rsidRDefault="00C362E2" w:rsidP="00615E0B">
      <w:pPr>
        <w:pStyle w:val="Heading2"/>
      </w:pPr>
      <w:r w:rsidRPr="00615E0B">
        <w:t>Potential Direct Claims Against Insurer</w:t>
      </w:r>
      <w:r w:rsidR="00615E0B">
        <w:t>:</w:t>
      </w:r>
      <w:r>
        <w:t xml:space="preserve"> </w:t>
      </w:r>
    </w:p>
    <w:p w14:paraId="1ED39470" w14:textId="0D1C970D" w:rsidR="00C362E2" w:rsidRPr="00615E0B" w:rsidRDefault="00C362E2" w:rsidP="00615E0B">
      <w:pPr>
        <w:pStyle w:val="Heading3"/>
      </w:pPr>
      <w:r w:rsidRPr="00615E0B">
        <w:t>Direct Action</w:t>
      </w:r>
      <w:r w:rsidR="00615E0B" w:rsidRPr="00615E0B">
        <w:t>s</w:t>
      </w:r>
      <w:r w:rsidR="00615E0B" w:rsidRPr="00615E0B">
        <w:rPr>
          <w:u w:val="none"/>
        </w:rPr>
        <w:t>:</w:t>
      </w:r>
    </w:p>
    <w:p w14:paraId="2C20DF93" w14:textId="568D7C34" w:rsidR="00C362E2" w:rsidRPr="00C362E2" w:rsidRDefault="00C362E2" w:rsidP="00615E0B">
      <w:pPr>
        <w:jc w:val="both"/>
      </w:pPr>
      <w:r>
        <w:t xml:space="preserve">As a general rule, an injured party cannot bring a direct action against an insurer until the injured party has secured a monetary judgment.  </w:t>
      </w:r>
      <w:r>
        <w:rPr>
          <w:u w:val="single"/>
        </w:rPr>
        <w:t>See</w:t>
      </w:r>
      <w:r>
        <w:t xml:space="preserve"> </w:t>
      </w:r>
      <w:r>
        <w:rPr>
          <w:u w:val="single"/>
        </w:rPr>
        <w:t>Hartford Ins. Co. v. Henderson &amp; Son, Inc.</w:t>
      </w:r>
      <w:r>
        <w:t xml:space="preserve">, 258 Ga. 493, 494 (1988).  This is because the injured party is not a party to the contract with the insurer.  </w:t>
      </w:r>
      <w:r w:rsidR="00615E0B">
        <w:t xml:space="preserve"> </w:t>
      </w:r>
    </w:p>
    <w:p w14:paraId="042DD509" w14:textId="1CDB9488" w:rsidR="00F13E3E" w:rsidRPr="00C362E2" w:rsidRDefault="0029438A" w:rsidP="00615E0B">
      <w:pPr>
        <w:pStyle w:val="Heading3"/>
        <w:jc w:val="both"/>
      </w:pPr>
      <w:r w:rsidRPr="00C362E2">
        <w:t>Bad Faith Under 33-4-6</w:t>
      </w:r>
      <w:r w:rsidR="00615E0B">
        <w:rPr>
          <w:u w:val="none"/>
        </w:rPr>
        <w:t>:</w:t>
      </w:r>
    </w:p>
    <w:p w14:paraId="430F902D" w14:textId="7CCD7E51" w:rsidR="0029438A" w:rsidRPr="00C362E2" w:rsidRDefault="0029438A" w:rsidP="00615E0B">
      <w:pPr>
        <w:jc w:val="both"/>
      </w:pPr>
      <w:r>
        <w:t>O.C.G.A. § 33-4-6 authorizes the insured to recover an additional 50% of the insurer’s liability where the insured can prove</w:t>
      </w:r>
      <w:r w:rsidR="00615E0B">
        <w:t xml:space="preserve"> that (1) t</w:t>
      </w:r>
      <w:r>
        <w:t>he claim is covered under the policy;</w:t>
      </w:r>
      <w:r w:rsidR="00615E0B">
        <w:t xml:space="preserve"> (2) </w:t>
      </w:r>
      <w:r w:rsidR="001F6C9B">
        <w:t xml:space="preserve">at least 60 days </w:t>
      </w:r>
      <w:r w:rsidR="00615E0B">
        <w:t>p</w:t>
      </w:r>
      <w:r>
        <w:t xml:space="preserve">rior to filing suit, insured demanded payment; and </w:t>
      </w:r>
      <w:r w:rsidR="00615E0B">
        <w:t>(3) the i</w:t>
      </w:r>
      <w:r>
        <w:t xml:space="preserve">nsurer’s failure to pay was motivated by bad faith. </w:t>
      </w:r>
      <w:r w:rsidR="00615E0B">
        <w:t xml:space="preserve">  O.C.G.A. § 33-4-6.  An additional insured may bring an action for bad faith denial of coverage.</w:t>
      </w:r>
      <w:r w:rsidR="00C362E2">
        <w:t xml:space="preserve">  </w:t>
      </w:r>
      <w:r w:rsidR="00C362E2">
        <w:rPr>
          <w:u w:val="single"/>
        </w:rPr>
        <w:t>See</w:t>
      </w:r>
      <w:r w:rsidR="00C362E2">
        <w:t xml:space="preserve"> </w:t>
      </w:r>
      <w:r w:rsidR="00C362E2">
        <w:rPr>
          <w:u w:val="single"/>
        </w:rPr>
        <w:t>Southern Trust Insurance Company v. Cravey</w:t>
      </w:r>
      <w:r w:rsidR="00C362E2">
        <w:t xml:space="preserve">, 345 Ga. App. 697 (2018). </w:t>
      </w:r>
    </w:p>
    <w:p w14:paraId="471AF35A" w14:textId="32C896F9" w:rsidR="007D122C" w:rsidRPr="00C362E2" w:rsidRDefault="00C362E2" w:rsidP="00615E0B">
      <w:pPr>
        <w:pStyle w:val="Heading3"/>
        <w:jc w:val="both"/>
      </w:pPr>
      <w:r w:rsidRPr="00C362E2">
        <w:t xml:space="preserve">Declaratory Judgment </w:t>
      </w:r>
    </w:p>
    <w:p w14:paraId="6FF697D6" w14:textId="6CFDC078" w:rsidR="00C362E2" w:rsidRDefault="00C362E2" w:rsidP="00615E0B">
      <w:pPr>
        <w:jc w:val="both"/>
      </w:pPr>
      <w:r>
        <w:t xml:space="preserve">An additional insured may bring </w:t>
      </w:r>
      <w:r w:rsidR="00615E0B">
        <w:t xml:space="preserve">an </w:t>
      </w:r>
      <w:r>
        <w:t xml:space="preserve">action for a declaratory judgment </w:t>
      </w:r>
      <w:r w:rsidR="00615E0B">
        <w:t xml:space="preserve">regarding an </w:t>
      </w:r>
      <w:r>
        <w:t xml:space="preserve">insurer’s obligations under </w:t>
      </w:r>
      <w:r w:rsidR="00615E0B">
        <w:t>the policy</w:t>
      </w:r>
      <w:r>
        <w:t xml:space="preserve">.  </w:t>
      </w:r>
      <w:r>
        <w:rPr>
          <w:u w:val="single"/>
        </w:rPr>
        <w:t>Tiller v. State Farm Mut. Auto. Ins. Co.</w:t>
      </w:r>
      <w:r>
        <w:t xml:space="preserve">, 549 Fed. Appx. 849, 584 (11th Cir. 2013); </w:t>
      </w:r>
      <w:r>
        <w:rPr>
          <w:u w:val="single"/>
        </w:rPr>
        <w:t>Atlantic Wood Industries, Inc. v. Argonaut Ins. Co.</w:t>
      </w:r>
      <w:r>
        <w:t>, 258 Ga. 800, 800 (1989)</w:t>
      </w:r>
      <w:r w:rsidR="00615E0B">
        <w:t xml:space="preserve">. Such a claim is not ripe until </w:t>
      </w:r>
      <w:r>
        <w:t xml:space="preserve">the insurer denies coverage, </w:t>
      </w:r>
      <w:r>
        <w:lastRenderedPageBreak/>
        <w:t xml:space="preserve">reserves rights, or creates a controversy over the scope of coverage. </w:t>
      </w:r>
      <w:r>
        <w:rPr>
          <w:u w:val="single"/>
        </w:rPr>
        <w:t>See</w:t>
      </w:r>
      <w:r>
        <w:t xml:space="preserve"> </w:t>
      </w:r>
      <w:r>
        <w:rPr>
          <w:u w:val="single"/>
        </w:rPr>
        <w:t>City of College Park v. Georgia Interlocal Risk Management Agency</w:t>
      </w:r>
      <w:r>
        <w:t xml:space="preserve">, 313 Ga. App. 239 (2011). </w:t>
      </w:r>
    </w:p>
    <w:p w14:paraId="622BEC45" w14:textId="77777777" w:rsidR="00C362E2" w:rsidRDefault="00C362E2" w:rsidP="00615E0B">
      <w:pPr>
        <w:pStyle w:val="Heading3"/>
        <w:jc w:val="both"/>
        <w:rPr>
          <w:u w:val="none"/>
        </w:rPr>
      </w:pPr>
      <w:r>
        <w:t>Breach of Contract</w:t>
      </w:r>
      <w:r>
        <w:rPr>
          <w:u w:val="none"/>
        </w:rPr>
        <w:t xml:space="preserve"> </w:t>
      </w:r>
    </w:p>
    <w:p w14:paraId="4A13F2E6" w14:textId="7AA6F6B1" w:rsidR="00C362E2" w:rsidRDefault="00C362E2" w:rsidP="00615E0B">
      <w:pPr>
        <w:jc w:val="both"/>
      </w:pPr>
      <w:r>
        <w:t xml:space="preserve">A general contractor may bring a first-party breach of contract action where an insurer refuses to reimburse </w:t>
      </w:r>
      <w:r w:rsidR="00615E0B">
        <w:t xml:space="preserve">it </w:t>
      </w:r>
      <w:r>
        <w:t xml:space="preserve">for repairs to the work of the subcontractor.  However, depending on the language of the policy, a general contractor’s claim may be barred by a business risk exclusion.  </w:t>
      </w:r>
      <w:r>
        <w:rPr>
          <w:u w:val="single"/>
        </w:rPr>
        <w:t>Auto Ins. Co. v. Gay Const. Co.</w:t>
      </w:r>
      <w:r>
        <w:t>, 332 Ga. App. 757, 760 (2015)</w:t>
      </w:r>
      <w:r w:rsidR="00615E0B">
        <w:t>.</w:t>
      </w:r>
      <w:r>
        <w:t xml:space="preserve"> </w:t>
      </w:r>
    </w:p>
    <w:p w14:paraId="04B72C6E" w14:textId="3CD04445" w:rsidR="007D122C" w:rsidRDefault="00615E0B" w:rsidP="00615E0B">
      <w:pPr>
        <w:pStyle w:val="Heading2"/>
        <w:jc w:val="both"/>
      </w:pPr>
      <w:r>
        <w:t>Timely Notice</w:t>
      </w:r>
      <w:r>
        <w:rPr>
          <w:u w:val="none"/>
        </w:rPr>
        <w:t>:</w:t>
      </w:r>
    </w:p>
    <w:p w14:paraId="02303D93" w14:textId="163BBF91" w:rsidR="00C362E2" w:rsidRDefault="00615E0B" w:rsidP="00615E0B">
      <w:pPr>
        <w:jc w:val="both"/>
      </w:pPr>
      <w:r>
        <w:t>Policies typically provide that an insured must provide notice of a claim “as soon as practicable.” Timely notice is a precondition to coverage.</w:t>
      </w:r>
    </w:p>
    <w:p w14:paraId="63A85CA7" w14:textId="7FBCEA69" w:rsidR="00B57DBA" w:rsidRDefault="00B57DBA" w:rsidP="00B57DBA">
      <w:pPr>
        <w:jc w:val="both"/>
      </w:pPr>
      <w:r>
        <w:t>“</w:t>
      </w:r>
      <w:r>
        <w:t>[T]</w:t>
      </w:r>
      <w:r w:rsidRPr="008D32F8">
        <w:t>he duty to provide notice to the insurer is triggered when the insured actually knew or should have known of the possibility that it might be held liable for the occurrence in question.</w:t>
      </w:r>
      <w:r>
        <w:t xml:space="preserve">”  </w:t>
      </w:r>
      <w:r w:rsidRPr="008D32F8">
        <w:rPr>
          <w:u w:val="single"/>
        </w:rPr>
        <w:t>South Carolina Ins. Co. v. Coody</w:t>
      </w:r>
      <w:r w:rsidRPr="008D32F8">
        <w:t>, 957 F. Supp. 234, 237 (M.D. Ga. 1997)</w:t>
      </w:r>
      <w:r>
        <w:t>.</w:t>
      </w:r>
      <w:r>
        <w:t xml:space="preserve"> </w:t>
      </w:r>
      <w:r>
        <w:t xml:space="preserve"> For example, a</w:t>
      </w:r>
      <w:r>
        <w:t xml:space="preserve"> </w:t>
      </w:r>
      <w:r>
        <w:t>“</w:t>
      </w:r>
      <w:r>
        <w:t>warning letter</w:t>
      </w:r>
      <w:r>
        <w:t>”</w:t>
      </w:r>
      <w:r>
        <w:t xml:space="preserve"> from a claimant </w:t>
      </w:r>
      <w:r>
        <w:t>triggers the</w:t>
      </w:r>
      <w:r>
        <w:t xml:space="preserve"> duty to notify.  </w:t>
      </w:r>
      <w:r w:rsidRPr="008D32F8">
        <w:rPr>
          <w:u w:val="single"/>
        </w:rPr>
        <w:t>Travelers Indem. Co. of Connecticut v. Douglasville Development, LLC</w:t>
      </w:r>
      <w:r>
        <w:t>, 2008 WL 4372004 (N.D. Ga. 2008).</w:t>
      </w:r>
      <w:r>
        <w:t xml:space="preserve"> The courts will look to four factors to determine if the obligation to provide notice was triggered: </w:t>
      </w:r>
    </w:p>
    <w:p w14:paraId="11D0365C" w14:textId="77777777" w:rsidR="00B57DBA" w:rsidRPr="00B57DBA" w:rsidRDefault="00B57DBA" w:rsidP="00B57DBA">
      <w:pPr>
        <w:pStyle w:val="Quote"/>
        <w:rPr>
          <w:color w:val="auto"/>
        </w:rPr>
      </w:pPr>
      <w:r w:rsidRPr="00B57DBA">
        <w:rPr>
          <w:color w:val="auto"/>
        </w:rPr>
        <w:t xml:space="preserve">(1) the nature of the event; </w:t>
      </w:r>
    </w:p>
    <w:p w14:paraId="7BC21C9E" w14:textId="77777777" w:rsidR="00B57DBA" w:rsidRPr="00B57DBA" w:rsidRDefault="00B57DBA" w:rsidP="00B57DBA">
      <w:pPr>
        <w:pStyle w:val="Quote"/>
        <w:rPr>
          <w:color w:val="auto"/>
        </w:rPr>
      </w:pPr>
      <w:r w:rsidRPr="00B57DBA">
        <w:rPr>
          <w:color w:val="auto"/>
        </w:rPr>
        <w:t xml:space="preserve">(2) the extent to which it appeared that injuries or property damage resulted from the event; </w:t>
      </w:r>
    </w:p>
    <w:p w14:paraId="60D0D840" w14:textId="77777777" w:rsidR="00B57DBA" w:rsidRPr="00B57DBA" w:rsidRDefault="00B57DBA" w:rsidP="00B57DBA">
      <w:pPr>
        <w:pStyle w:val="Quote"/>
        <w:rPr>
          <w:color w:val="auto"/>
        </w:rPr>
      </w:pPr>
      <w:r w:rsidRPr="00B57DBA">
        <w:rPr>
          <w:color w:val="auto"/>
        </w:rPr>
        <w:t xml:space="preserve">(3) the apparent severity of any such injuries or damage; and </w:t>
      </w:r>
    </w:p>
    <w:p w14:paraId="4704FD05" w14:textId="2EA016FD" w:rsidR="00B57DBA" w:rsidRPr="00B57DBA" w:rsidRDefault="00B57DBA" w:rsidP="00B57DBA">
      <w:pPr>
        <w:pStyle w:val="Quote"/>
        <w:rPr>
          <w:color w:val="auto"/>
        </w:rPr>
      </w:pPr>
      <w:r w:rsidRPr="00B57DBA">
        <w:rPr>
          <w:color w:val="auto"/>
        </w:rPr>
        <w:t>(4) whether anyone gave an indication that he intended to hold the insured responsible for the event and resulting injuries.</w:t>
      </w:r>
    </w:p>
    <w:p w14:paraId="59C1E669" w14:textId="77777777" w:rsidR="00B57DBA" w:rsidRDefault="00B57DBA" w:rsidP="00B57DBA">
      <w:pPr>
        <w:ind w:firstLine="0"/>
        <w:jc w:val="both"/>
      </w:pPr>
      <w:r w:rsidRPr="008D32F8">
        <w:rPr>
          <w:u w:val="single"/>
        </w:rPr>
        <w:t>Forshee v. Employers Mut. Cas. Co.</w:t>
      </w:r>
      <w:r w:rsidRPr="008D32F8">
        <w:t>, 309 Ga. App</w:t>
      </w:r>
      <w:r>
        <w:t>. 621, 711 S.E.2d 28, 31 (2011)</w:t>
      </w:r>
      <w:r>
        <w:t xml:space="preserve">. </w:t>
      </w:r>
    </w:p>
    <w:p w14:paraId="034E07D1" w14:textId="736DE39D" w:rsidR="00C362E2" w:rsidRPr="008D32F8" w:rsidRDefault="00B57DBA" w:rsidP="00B57DBA">
      <w:pPr>
        <w:jc w:val="both"/>
      </w:pPr>
      <w:r>
        <w:lastRenderedPageBreak/>
        <w:t>While there are no hard and fast rules about how quickly notice must be provided, a</w:t>
      </w:r>
      <w:r w:rsidR="00C362E2">
        <w:t>s little as three</w:t>
      </w:r>
      <w:r>
        <w:t xml:space="preserve"> </w:t>
      </w:r>
      <w:r w:rsidR="00C362E2">
        <w:t>month</w:t>
      </w:r>
      <w:r>
        <w:t>s</w:t>
      </w:r>
      <w:r w:rsidR="00C362E2">
        <w:t xml:space="preserve"> can be sufficient to render notice defective. </w:t>
      </w:r>
      <w:r w:rsidR="00C362E2">
        <w:rPr>
          <w:u w:val="single"/>
        </w:rPr>
        <w:t>Allstate Ins. Co. v. Airport Mini Mall, LLC</w:t>
      </w:r>
      <w:r w:rsidR="00C362E2">
        <w:t xml:space="preserve">, 265 F. Supp. 3d 1356 (N.D. GA. 2017), </w:t>
      </w:r>
    </w:p>
    <w:p w14:paraId="638E8EC0" w14:textId="268D3268" w:rsidR="00C362E2" w:rsidRDefault="00B57DBA" w:rsidP="00615E0B">
      <w:pPr>
        <w:pStyle w:val="Heading2"/>
        <w:jc w:val="both"/>
      </w:pPr>
      <w:r>
        <w:t>Triggering Events</w:t>
      </w:r>
      <w:r>
        <w:rPr>
          <w:u w:val="none"/>
        </w:rPr>
        <w:t>:</w:t>
      </w:r>
    </w:p>
    <w:p w14:paraId="6F0753EF" w14:textId="099B80D3" w:rsidR="00C362E2" w:rsidRDefault="00B57DBA" w:rsidP="00615E0B">
      <w:pPr>
        <w:jc w:val="both"/>
      </w:pPr>
      <w:r>
        <w:t xml:space="preserve">Policies typically define </w:t>
      </w:r>
      <w:r w:rsidR="00C362E2">
        <w:t>“</w:t>
      </w:r>
      <w:r>
        <w:t>o</w:t>
      </w:r>
      <w:r w:rsidR="00C362E2">
        <w:t xml:space="preserve">ccurrence” </w:t>
      </w:r>
      <w:r>
        <w:t>as an</w:t>
      </w:r>
      <w:r w:rsidR="00C362E2">
        <w:t xml:space="preserve"> “accident,” which can include defective work causing damage to property. </w:t>
      </w:r>
      <w:r w:rsidR="00C362E2">
        <w:rPr>
          <w:u w:val="single"/>
        </w:rPr>
        <w:t>American Empire Surplus Lines Ins. Co. v. Hathaway Development Co., Inc.</w:t>
      </w:r>
      <w:r w:rsidR="00C362E2">
        <w:t>, 288 Ga. 749, 752 (2011) (finding “[a]</w:t>
      </w:r>
      <w:r w:rsidR="00C362E2" w:rsidRPr="008D32F8">
        <w:t>n occurrence can arise where faulty workmanship causes unforeseen or unexpected damage to other property.</w:t>
      </w:r>
      <w:r w:rsidR="00C362E2">
        <w:t xml:space="preserve">”); </w:t>
      </w:r>
      <w:r w:rsidR="00C362E2">
        <w:rPr>
          <w:u w:val="single"/>
        </w:rPr>
        <w:t>Taylor Morrison Services, Inc. v. HDI-Gerling America Ins. Co.</w:t>
      </w:r>
      <w:r w:rsidR="00C362E2">
        <w:t xml:space="preserve">, 293 Ga. 456 (2013). </w:t>
      </w:r>
    </w:p>
    <w:p w14:paraId="7189DCC9" w14:textId="2E2AA4CB" w:rsidR="00B57DBA" w:rsidRDefault="00B57DBA" w:rsidP="00615E0B">
      <w:pPr>
        <w:jc w:val="both"/>
      </w:pPr>
      <w:r w:rsidRPr="00B57DBA">
        <w:t xml:space="preserve">The courts </w:t>
      </w:r>
      <w:r>
        <w:t xml:space="preserve">recognize four types of triggering events: </w:t>
      </w:r>
    </w:p>
    <w:p w14:paraId="79D9817E" w14:textId="6DA8D17B" w:rsidR="00B57DBA" w:rsidRPr="00B57DBA" w:rsidRDefault="00B57DBA" w:rsidP="00B57DBA">
      <w:pPr>
        <w:pStyle w:val="Quote"/>
        <w:numPr>
          <w:ilvl w:val="0"/>
          <w:numId w:val="5"/>
        </w:numPr>
        <w:rPr>
          <w:color w:val="auto"/>
        </w:rPr>
      </w:pPr>
      <w:r w:rsidRPr="00B57DBA">
        <w:rPr>
          <w:color w:val="auto"/>
        </w:rPr>
        <w:t xml:space="preserve">Exposure trigger – “coverage is triggered when injury-producing agent first makes contact with the property.” </w:t>
      </w:r>
    </w:p>
    <w:p w14:paraId="2849B8FC" w14:textId="77777777" w:rsidR="00B57DBA" w:rsidRPr="00B57DBA" w:rsidRDefault="00B57DBA" w:rsidP="00B57DBA">
      <w:pPr>
        <w:pStyle w:val="Quote"/>
        <w:numPr>
          <w:ilvl w:val="0"/>
          <w:numId w:val="5"/>
        </w:numPr>
        <w:rPr>
          <w:color w:val="auto"/>
        </w:rPr>
      </w:pPr>
      <w:r w:rsidRPr="00B57DBA">
        <w:rPr>
          <w:color w:val="auto"/>
        </w:rPr>
        <w:t xml:space="preserve">Injury in Fact trigger – “coverage is triggered at the point in time when actual injury first occurs” </w:t>
      </w:r>
      <w:r w:rsidRPr="00B57DBA">
        <w:rPr>
          <w:color w:val="auto"/>
          <w:u w:val="single"/>
        </w:rPr>
        <w:t>Id.</w:t>
      </w:r>
      <w:r w:rsidRPr="00B57DBA">
        <w:rPr>
          <w:color w:val="auto"/>
        </w:rPr>
        <w:t xml:space="preserve"> at 1345-46.</w:t>
      </w:r>
    </w:p>
    <w:p w14:paraId="35B4AA3B" w14:textId="3D1D75B4" w:rsidR="00B57DBA" w:rsidRPr="00B57DBA" w:rsidRDefault="00B57DBA" w:rsidP="00B57DBA">
      <w:pPr>
        <w:pStyle w:val="Quote"/>
        <w:numPr>
          <w:ilvl w:val="0"/>
          <w:numId w:val="5"/>
        </w:numPr>
        <w:rPr>
          <w:color w:val="auto"/>
        </w:rPr>
      </w:pPr>
      <w:r w:rsidRPr="00B57DBA">
        <w:rPr>
          <w:color w:val="auto"/>
        </w:rPr>
        <w:t>Continuous/Multiple trigger – “all liability policies in effect from the exposure to manifestation provide coverage and are responsible for the loss.</w:t>
      </w:r>
    </w:p>
    <w:p w14:paraId="713C69D3" w14:textId="5862D512" w:rsidR="00B57DBA" w:rsidRPr="00B57DBA" w:rsidRDefault="00B57DBA" w:rsidP="00B57DBA">
      <w:pPr>
        <w:pStyle w:val="Quote"/>
        <w:numPr>
          <w:ilvl w:val="0"/>
          <w:numId w:val="5"/>
        </w:numPr>
        <w:rPr>
          <w:color w:val="auto"/>
        </w:rPr>
      </w:pPr>
      <w:r w:rsidRPr="00B57DBA">
        <w:rPr>
          <w:color w:val="auto"/>
        </w:rPr>
        <w:t>Manifestation trigger – “coverage is triggered only when damage occurs and is discovered, that it ‘manifests’ itself as readily obvious , within the policy period.”</w:t>
      </w:r>
    </w:p>
    <w:p w14:paraId="6294FE29" w14:textId="77777777" w:rsidR="00B57DBA" w:rsidRDefault="00B57DBA" w:rsidP="00B57DBA">
      <w:pPr>
        <w:pStyle w:val="ListParagraph"/>
        <w:spacing w:line="240" w:lineRule="auto"/>
        <w:ind w:left="1440" w:firstLine="0"/>
        <w:jc w:val="both"/>
      </w:pPr>
    </w:p>
    <w:p w14:paraId="140CB2E2" w14:textId="418DBAB7" w:rsidR="00C362E2" w:rsidRPr="00B57DBA" w:rsidRDefault="00C362E2" w:rsidP="00B57DBA">
      <w:pPr>
        <w:ind w:firstLine="0"/>
        <w:jc w:val="both"/>
        <w:rPr>
          <w:u w:val="single"/>
        </w:rPr>
      </w:pPr>
      <w:r>
        <w:rPr>
          <w:u w:val="single"/>
        </w:rPr>
        <w:t>Arrow Exterminators, Inc. v. Zurich American Ins. Co.</w:t>
      </w:r>
      <w:r>
        <w:t xml:space="preserve">, 136 F. Supp. </w:t>
      </w:r>
      <w:r w:rsidR="004D5F63">
        <w:t xml:space="preserve">2d </w:t>
      </w:r>
      <w:r>
        <w:t>1340</w:t>
      </w:r>
      <w:r w:rsidR="00B57DBA">
        <w:t>, 1345-46</w:t>
      </w:r>
      <w:r>
        <w:t xml:space="preserve"> (N.D. GA. 2001).  </w:t>
      </w:r>
      <w:r w:rsidR="00B57DBA">
        <w:t xml:space="preserve">Policies do not typically require that the </w:t>
      </w:r>
      <w:r>
        <w:t xml:space="preserve">property damage be discovered during the policy period, only that the damage occur. </w:t>
      </w:r>
      <w:r w:rsidR="00B57DBA">
        <w:t xml:space="preserve"> </w:t>
      </w:r>
      <w:r w:rsidR="00B57DBA">
        <w:rPr>
          <w:u w:val="single"/>
        </w:rPr>
        <w:t>Id.</w:t>
      </w:r>
    </w:p>
    <w:sectPr w:rsidR="00C362E2" w:rsidRPr="00B57D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F639E" w14:textId="77777777" w:rsidR="009B0627" w:rsidRDefault="009B0627" w:rsidP="0029438A">
      <w:r>
        <w:separator/>
      </w:r>
    </w:p>
  </w:endnote>
  <w:endnote w:type="continuationSeparator" w:id="0">
    <w:p w14:paraId="413F65E7" w14:textId="77777777" w:rsidR="009B0627" w:rsidRDefault="009B0627" w:rsidP="0029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9087E" w14:textId="77777777" w:rsidR="00405B28" w:rsidRDefault="00405B28" w:rsidP="00294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D167D" w14:textId="63E9AA94" w:rsidR="00405B28" w:rsidRPr="00405B28" w:rsidRDefault="00FD4309" w:rsidP="0029438A">
    <w:pPr>
      <w:pStyle w:val="Footer"/>
    </w:pPr>
    <w:r w:rsidRPr="00FD4309">
      <w:rPr>
        <w:noProof/>
        <w:sz w:val="16"/>
      </w:rPr>
      <w:t>{00540014.DOCX / }</w:t>
    </w:r>
    <w:r w:rsidR="00405B28">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0B01C" w14:textId="77777777" w:rsidR="00405B28" w:rsidRDefault="00405B28" w:rsidP="00294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F4272" w14:textId="77777777" w:rsidR="009B0627" w:rsidRDefault="009B0627" w:rsidP="0029438A">
      <w:pPr>
        <w:rPr>
          <w:noProof/>
        </w:rPr>
      </w:pPr>
      <w:r>
        <w:rPr>
          <w:noProof/>
        </w:rPr>
        <w:separator/>
      </w:r>
    </w:p>
  </w:footnote>
  <w:footnote w:type="continuationSeparator" w:id="0">
    <w:p w14:paraId="0782BBFE" w14:textId="77777777" w:rsidR="009B0627" w:rsidRDefault="009B0627" w:rsidP="00294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5FF58" w14:textId="77777777" w:rsidR="00405B28" w:rsidRDefault="00405B28" w:rsidP="00294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79B76" w14:textId="77777777" w:rsidR="00405B28" w:rsidRDefault="00405B28" w:rsidP="002943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E2D35" w14:textId="77777777" w:rsidR="00405B28" w:rsidRDefault="00405B28" w:rsidP="00294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3C35"/>
    <w:multiLevelType w:val="hybridMultilevel"/>
    <w:tmpl w:val="0566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3479AE"/>
    <w:multiLevelType w:val="hybridMultilevel"/>
    <w:tmpl w:val="DE5A9F06"/>
    <w:lvl w:ilvl="0" w:tplc="04090015">
      <w:start w:val="1"/>
      <w:numFmt w:val="upperLetter"/>
      <w:lvlText w:val="%1."/>
      <w:lvlJc w:val="left"/>
      <w:pPr>
        <w:ind w:left="720" w:hanging="720"/>
      </w:pPr>
      <w:rPr>
        <w:rFonts w:hint="default"/>
        <w:b/>
      </w:rPr>
    </w:lvl>
    <w:lvl w:ilvl="1" w:tplc="0409000F">
      <w:start w:val="1"/>
      <w:numFmt w:val="decimal"/>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F5145"/>
    <w:multiLevelType w:val="multilevel"/>
    <w:tmpl w:val="9C7AA1DC"/>
    <w:lvl w:ilvl="0">
      <w:start w:val="1"/>
      <w:numFmt w:val="upperRoman"/>
      <w:pStyle w:val="Heading1"/>
      <w:suff w:val="space"/>
      <w:lvlText w:val="%1."/>
      <w:lvlJc w:val="left"/>
      <w:pPr>
        <w:ind w:left="0" w:firstLine="0"/>
      </w:pPr>
      <w:rPr>
        <w:rFonts w:hint="default"/>
      </w:rPr>
    </w:lvl>
    <w:lvl w:ilvl="1">
      <w:start w:val="1"/>
      <w:numFmt w:val="upperLetter"/>
      <w:pStyle w:val="Heading2"/>
      <w:lvlText w:val="%2."/>
      <w:lvlJc w:val="left"/>
      <w:pPr>
        <w:ind w:left="720" w:hanging="720"/>
      </w:pPr>
      <w:rPr>
        <w:rFonts w:hint="default"/>
      </w:rPr>
    </w:lvl>
    <w:lvl w:ilvl="2">
      <w:start w:val="1"/>
      <w:numFmt w:val="decimal"/>
      <w:pStyle w:val="Heading3"/>
      <w:lvlText w:val="%3."/>
      <w:lvlJc w:val="left"/>
      <w:pPr>
        <w:ind w:left="1440" w:hanging="72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15:restartNumberingAfterBreak="0">
    <w:nsid w:val="3E917319"/>
    <w:multiLevelType w:val="hybridMultilevel"/>
    <w:tmpl w:val="AF827F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8FA648F"/>
    <w:multiLevelType w:val="hybridMultilevel"/>
    <w:tmpl w:val="0EC036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E3E"/>
    <w:rsid w:val="00181043"/>
    <w:rsid w:val="001E10A9"/>
    <w:rsid w:val="001F6C9B"/>
    <w:rsid w:val="0029438A"/>
    <w:rsid w:val="002A127C"/>
    <w:rsid w:val="002D6B6D"/>
    <w:rsid w:val="00366C96"/>
    <w:rsid w:val="00405B28"/>
    <w:rsid w:val="00427BA3"/>
    <w:rsid w:val="004B62A0"/>
    <w:rsid w:val="004D5F63"/>
    <w:rsid w:val="004F6890"/>
    <w:rsid w:val="00512795"/>
    <w:rsid w:val="00545BE1"/>
    <w:rsid w:val="005E3A2E"/>
    <w:rsid w:val="00615E0B"/>
    <w:rsid w:val="006653C4"/>
    <w:rsid w:val="006935E0"/>
    <w:rsid w:val="006E3039"/>
    <w:rsid w:val="007D122C"/>
    <w:rsid w:val="0082538B"/>
    <w:rsid w:val="008B177E"/>
    <w:rsid w:val="008C7B70"/>
    <w:rsid w:val="008D51B0"/>
    <w:rsid w:val="009B0627"/>
    <w:rsid w:val="00AD0124"/>
    <w:rsid w:val="00B57DBA"/>
    <w:rsid w:val="00B73142"/>
    <w:rsid w:val="00BF1D4C"/>
    <w:rsid w:val="00C362E2"/>
    <w:rsid w:val="00DD0C29"/>
    <w:rsid w:val="00E95E30"/>
    <w:rsid w:val="00EB1413"/>
    <w:rsid w:val="00F13E3E"/>
    <w:rsid w:val="00FA36DD"/>
    <w:rsid w:val="00FD4309"/>
    <w:rsid w:val="00FF0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8152"/>
  <w15:chartTrackingRefBased/>
  <w15:docId w15:val="{E43C2440-5A36-4DD8-B7CF-20AE740B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4"/>
        <w:szCs w:val="22"/>
        <w:lang w:val="en-US"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38A"/>
    <w:pPr>
      <w:ind w:firstLine="720"/>
      <w:jc w:val="left"/>
    </w:pPr>
    <w:rPr>
      <w:rFonts w:eastAsia="Times New Roman" w:cs="Times New Roman"/>
      <w:szCs w:val="20"/>
    </w:rPr>
  </w:style>
  <w:style w:type="paragraph" w:styleId="Heading1">
    <w:name w:val="heading 1"/>
    <w:basedOn w:val="Subtitle"/>
    <w:next w:val="Normal"/>
    <w:link w:val="Heading1Char"/>
    <w:uiPriority w:val="9"/>
    <w:qFormat/>
    <w:rsid w:val="0029438A"/>
    <w:pPr>
      <w:keepNext/>
      <w:keepLines/>
      <w:numPr>
        <w:ilvl w:val="0"/>
        <w:numId w:val="4"/>
      </w:numPr>
      <w:spacing w:after="0"/>
      <w:jc w:val="center"/>
      <w:outlineLvl w:val="0"/>
    </w:pPr>
    <w:rPr>
      <w:rFonts w:ascii="Georgia" w:eastAsia="Times New Roman" w:hAnsi="Georgia" w:cs="Times New Roman"/>
      <w:b/>
      <w:color w:val="auto"/>
      <w:spacing w:val="0"/>
      <w:sz w:val="24"/>
      <w:szCs w:val="24"/>
      <w:u w:val="single"/>
    </w:rPr>
  </w:style>
  <w:style w:type="paragraph" w:styleId="Heading2">
    <w:name w:val="heading 2"/>
    <w:basedOn w:val="ListParagraph"/>
    <w:next w:val="Normal"/>
    <w:link w:val="Heading2Char"/>
    <w:uiPriority w:val="9"/>
    <w:unhideWhenUsed/>
    <w:qFormat/>
    <w:rsid w:val="00615E0B"/>
    <w:pPr>
      <w:numPr>
        <w:ilvl w:val="1"/>
        <w:numId w:val="4"/>
      </w:numPr>
      <w:spacing w:after="240" w:line="240" w:lineRule="auto"/>
      <w:outlineLvl w:val="1"/>
    </w:pPr>
    <w:rPr>
      <w:b/>
      <w:u w:val="single"/>
    </w:rPr>
  </w:style>
  <w:style w:type="paragraph" w:styleId="Heading3">
    <w:name w:val="heading 3"/>
    <w:basedOn w:val="Heading2"/>
    <w:next w:val="Normal"/>
    <w:link w:val="Heading3Char"/>
    <w:uiPriority w:val="9"/>
    <w:unhideWhenUsed/>
    <w:qFormat/>
    <w:rsid w:val="00615E0B"/>
    <w:pPr>
      <w:numPr>
        <w:ilvl w:val="2"/>
      </w:numPr>
      <w:outlineLvl w:val="2"/>
    </w:pPr>
  </w:style>
  <w:style w:type="paragraph" w:styleId="Heading4">
    <w:name w:val="heading 4"/>
    <w:basedOn w:val="Normal"/>
    <w:next w:val="Normal"/>
    <w:link w:val="Heading4Char"/>
    <w:uiPriority w:val="9"/>
    <w:semiHidden/>
    <w:unhideWhenUsed/>
    <w:qFormat/>
    <w:rsid w:val="00615E0B"/>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15E0B"/>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15E0B"/>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15E0B"/>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15E0B"/>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5E0B"/>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38A"/>
    <w:rPr>
      <w:rFonts w:eastAsia="Times New Roman" w:cs="Times New Roman"/>
      <w:b/>
      <w:szCs w:val="24"/>
      <w:u w:val="single"/>
    </w:rPr>
  </w:style>
  <w:style w:type="paragraph" w:customStyle="1" w:styleId="HeadingPGFM">
    <w:name w:val="HeadingPGFM"/>
    <w:rsid w:val="00F13E3E"/>
    <w:pPr>
      <w:spacing w:line="240" w:lineRule="auto"/>
      <w:jc w:val="left"/>
    </w:pPr>
    <w:rPr>
      <w:rFonts w:ascii="Times New Roman" w:eastAsia="Times New Roman" w:hAnsi="Times New Roman" w:cs="Times New Roman"/>
      <w:szCs w:val="20"/>
    </w:rPr>
  </w:style>
  <w:style w:type="paragraph" w:customStyle="1" w:styleId="DatePGFM">
    <w:name w:val="DatePGFM"/>
    <w:rsid w:val="00F13E3E"/>
    <w:pPr>
      <w:spacing w:before="480" w:line="240" w:lineRule="auto"/>
      <w:jc w:val="left"/>
    </w:pPr>
    <w:rPr>
      <w:rFonts w:ascii="Times New Roman" w:eastAsia="Times New Roman" w:hAnsi="Times New Roman" w:cs="Times New Roman"/>
      <w:szCs w:val="20"/>
    </w:rPr>
  </w:style>
  <w:style w:type="paragraph" w:styleId="Subtitle">
    <w:name w:val="Subtitle"/>
    <w:basedOn w:val="Normal"/>
    <w:next w:val="Normal"/>
    <w:link w:val="SubtitleChar"/>
    <w:uiPriority w:val="11"/>
    <w:qFormat/>
    <w:rsid w:val="00F13E3E"/>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13E3E"/>
    <w:rPr>
      <w:rFonts w:asciiTheme="minorHAnsi" w:eastAsiaTheme="minorEastAsia" w:hAnsiTheme="minorHAnsi"/>
      <w:color w:val="5A5A5A" w:themeColor="text1" w:themeTint="A5"/>
      <w:spacing w:val="15"/>
      <w:sz w:val="22"/>
    </w:rPr>
  </w:style>
  <w:style w:type="character" w:styleId="Hyperlink">
    <w:name w:val="Hyperlink"/>
    <w:basedOn w:val="DefaultParagraphFont"/>
    <w:uiPriority w:val="99"/>
    <w:semiHidden/>
    <w:unhideWhenUsed/>
    <w:rsid w:val="00F13E3E"/>
    <w:rPr>
      <w:color w:val="0563C1"/>
      <w:u w:val="single"/>
    </w:rPr>
  </w:style>
  <w:style w:type="character" w:styleId="Emphasis">
    <w:name w:val="Emphasis"/>
    <w:basedOn w:val="DefaultParagraphFont"/>
    <w:uiPriority w:val="20"/>
    <w:qFormat/>
    <w:rsid w:val="00F13E3E"/>
    <w:rPr>
      <w:i/>
      <w:iCs/>
    </w:rPr>
  </w:style>
  <w:style w:type="paragraph" w:styleId="ListParagraph">
    <w:name w:val="List Paragraph"/>
    <w:basedOn w:val="Normal"/>
    <w:uiPriority w:val="34"/>
    <w:qFormat/>
    <w:rsid w:val="002A127C"/>
    <w:pPr>
      <w:ind w:left="720"/>
      <w:contextualSpacing/>
    </w:pPr>
  </w:style>
  <w:style w:type="character" w:customStyle="1" w:styleId="Heading2Char">
    <w:name w:val="Heading 2 Char"/>
    <w:basedOn w:val="DefaultParagraphFont"/>
    <w:link w:val="Heading2"/>
    <w:uiPriority w:val="9"/>
    <w:rsid w:val="00615E0B"/>
    <w:rPr>
      <w:rFonts w:eastAsia="Times New Roman" w:cs="Times New Roman"/>
      <w:b/>
      <w:szCs w:val="20"/>
      <w:u w:val="single"/>
    </w:rPr>
  </w:style>
  <w:style w:type="paragraph" w:styleId="Header">
    <w:name w:val="header"/>
    <w:basedOn w:val="Normal"/>
    <w:link w:val="HeaderChar"/>
    <w:uiPriority w:val="99"/>
    <w:unhideWhenUsed/>
    <w:rsid w:val="00405B28"/>
    <w:pPr>
      <w:tabs>
        <w:tab w:val="center" w:pos="4680"/>
        <w:tab w:val="right" w:pos="9360"/>
      </w:tabs>
    </w:pPr>
  </w:style>
  <w:style w:type="character" w:customStyle="1" w:styleId="HeaderChar">
    <w:name w:val="Header Char"/>
    <w:basedOn w:val="DefaultParagraphFont"/>
    <w:link w:val="Header"/>
    <w:uiPriority w:val="99"/>
    <w:rsid w:val="00405B28"/>
    <w:rPr>
      <w:rFonts w:eastAsia="Times New Roman" w:cs="Times New Roman"/>
      <w:szCs w:val="20"/>
    </w:rPr>
  </w:style>
  <w:style w:type="paragraph" w:styleId="Footer">
    <w:name w:val="footer"/>
    <w:basedOn w:val="Normal"/>
    <w:link w:val="FooterChar"/>
    <w:uiPriority w:val="99"/>
    <w:unhideWhenUsed/>
    <w:rsid w:val="00405B28"/>
    <w:pPr>
      <w:tabs>
        <w:tab w:val="center" w:pos="4680"/>
        <w:tab w:val="right" w:pos="9360"/>
      </w:tabs>
    </w:pPr>
  </w:style>
  <w:style w:type="character" w:customStyle="1" w:styleId="FooterChar">
    <w:name w:val="Footer Char"/>
    <w:basedOn w:val="DefaultParagraphFont"/>
    <w:link w:val="Footer"/>
    <w:uiPriority w:val="99"/>
    <w:rsid w:val="00405B28"/>
    <w:rPr>
      <w:rFonts w:eastAsia="Times New Roman" w:cs="Times New Roman"/>
      <w:szCs w:val="20"/>
    </w:rPr>
  </w:style>
  <w:style w:type="character" w:customStyle="1" w:styleId="Heading3Char">
    <w:name w:val="Heading 3 Char"/>
    <w:basedOn w:val="DefaultParagraphFont"/>
    <w:link w:val="Heading3"/>
    <w:uiPriority w:val="9"/>
    <w:rsid w:val="00615E0B"/>
    <w:rPr>
      <w:rFonts w:eastAsia="Times New Roman" w:cs="Times New Roman"/>
      <w:b/>
      <w:szCs w:val="20"/>
      <w:u w:val="single"/>
    </w:rPr>
  </w:style>
  <w:style w:type="character" w:customStyle="1" w:styleId="Heading4Char">
    <w:name w:val="Heading 4 Char"/>
    <w:basedOn w:val="DefaultParagraphFont"/>
    <w:link w:val="Heading4"/>
    <w:uiPriority w:val="9"/>
    <w:semiHidden/>
    <w:rsid w:val="00615E0B"/>
    <w:rPr>
      <w:rFonts w:asciiTheme="majorHAnsi" w:eastAsiaTheme="majorEastAsia" w:hAnsiTheme="majorHAnsi" w:cstheme="majorBidi"/>
      <w:i/>
      <w:iCs/>
      <w:color w:val="2E74B5" w:themeColor="accent1" w:themeShade="BF"/>
      <w:szCs w:val="20"/>
    </w:rPr>
  </w:style>
  <w:style w:type="character" w:customStyle="1" w:styleId="Heading5Char">
    <w:name w:val="Heading 5 Char"/>
    <w:basedOn w:val="DefaultParagraphFont"/>
    <w:link w:val="Heading5"/>
    <w:uiPriority w:val="9"/>
    <w:semiHidden/>
    <w:rsid w:val="00615E0B"/>
    <w:rPr>
      <w:rFonts w:asciiTheme="majorHAnsi" w:eastAsiaTheme="majorEastAsia" w:hAnsiTheme="majorHAnsi" w:cstheme="majorBidi"/>
      <w:color w:val="2E74B5" w:themeColor="accent1" w:themeShade="BF"/>
      <w:szCs w:val="20"/>
    </w:rPr>
  </w:style>
  <w:style w:type="character" w:customStyle="1" w:styleId="Heading6Char">
    <w:name w:val="Heading 6 Char"/>
    <w:basedOn w:val="DefaultParagraphFont"/>
    <w:link w:val="Heading6"/>
    <w:uiPriority w:val="9"/>
    <w:semiHidden/>
    <w:rsid w:val="00615E0B"/>
    <w:rPr>
      <w:rFonts w:asciiTheme="majorHAnsi" w:eastAsiaTheme="majorEastAsia" w:hAnsiTheme="majorHAnsi" w:cstheme="majorBidi"/>
      <w:color w:val="1F4D78" w:themeColor="accent1" w:themeShade="7F"/>
      <w:szCs w:val="20"/>
    </w:rPr>
  </w:style>
  <w:style w:type="character" w:customStyle="1" w:styleId="Heading7Char">
    <w:name w:val="Heading 7 Char"/>
    <w:basedOn w:val="DefaultParagraphFont"/>
    <w:link w:val="Heading7"/>
    <w:uiPriority w:val="9"/>
    <w:semiHidden/>
    <w:rsid w:val="00615E0B"/>
    <w:rPr>
      <w:rFonts w:asciiTheme="majorHAnsi" w:eastAsiaTheme="majorEastAsia" w:hAnsiTheme="majorHAnsi" w:cstheme="majorBidi"/>
      <w:i/>
      <w:iCs/>
      <w:color w:val="1F4D78" w:themeColor="accent1" w:themeShade="7F"/>
      <w:szCs w:val="20"/>
    </w:rPr>
  </w:style>
  <w:style w:type="character" w:customStyle="1" w:styleId="Heading8Char">
    <w:name w:val="Heading 8 Char"/>
    <w:basedOn w:val="DefaultParagraphFont"/>
    <w:link w:val="Heading8"/>
    <w:uiPriority w:val="9"/>
    <w:semiHidden/>
    <w:rsid w:val="00615E0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5E0B"/>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qFormat/>
    <w:rsid w:val="00B57DBA"/>
    <w:pPr>
      <w:spacing w:after="240" w:line="240" w:lineRule="auto"/>
      <w:ind w:left="1440" w:right="1440" w:firstLine="0"/>
      <w:jc w:val="both"/>
    </w:pPr>
    <w:rPr>
      <w:iCs/>
      <w:color w:val="404040" w:themeColor="text1" w:themeTint="BF"/>
    </w:rPr>
  </w:style>
  <w:style w:type="character" w:customStyle="1" w:styleId="QuoteChar">
    <w:name w:val="Quote Char"/>
    <w:basedOn w:val="DefaultParagraphFont"/>
    <w:link w:val="Quote"/>
    <w:uiPriority w:val="29"/>
    <w:rsid w:val="00B57DBA"/>
    <w:rPr>
      <w:rFonts w:eastAsia="Times New Roman" w:cs="Times New Roman"/>
      <w:iCs/>
      <w:color w:val="404040" w:themeColor="text1" w:themeTint="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609167">
      <w:bodyDiv w:val="1"/>
      <w:marLeft w:val="0"/>
      <w:marRight w:val="0"/>
      <w:marTop w:val="0"/>
      <w:marBottom w:val="0"/>
      <w:divBdr>
        <w:top w:val="none" w:sz="0" w:space="0" w:color="auto"/>
        <w:left w:val="none" w:sz="0" w:space="0" w:color="auto"/>
        <w:bottom w:val="none" w:sz="0" w:space="0" w:color="auto"/>
        <w:right w:val="none" w:sz="0" w:space="0" w:color="auto"/>
      </w:divBdr>
    </w:div>
    <w:div w:id="69700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738</Words>
  <Characters>3774</Characters>
  <Application>Microsoft Office Word</Application>
  <DocSecurity>0</DocSecurity>
  <PresentationFormat/>
  <Lines>83</Lines>
  <Paragraphs>35</Paragraphs>
  <ScaleCrop>false</ScaleCrop>
  <HeadingPairs>
    <vt:vector size="2" baseType="variant">
      <vt:variant>
        <vt:lpstr>Title</vt:lpstr>
      </vt:variant>
      <vt:variant>
        <vt:i4>1</vt:i4>
      </vt:variant>
    </vt:vector>
  </HeadingPairs>
  <TitlesOfParts>
    <vt:vector size="1" baseType="lpstr">
      <vt:lpstr>Memo: Issues Arising in Coverage Actions (00540014).DOCX</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Issues Arising in Coverage Actions (00540014).DOCX</dc:title>
  <dc:subject>00540014.DOCX / /Font=8</dc:subject>
  <dc:creator>Ben Dell'Orto</dc:creator>
  <cp:keywords/>
  <dc:description/>
  <cp:lastModifiedBy>Shannan Oliver</cp:lastModifiedBy>
  <cp:revision>6</cp:revision>
  <dcterms:created xsi:type="dcterms:W3CDTF">2020-11-09T18:10:00Z</dcterms:created>
  <dcterms:modified xsi:type="dcterms:W3CDTF">2020-11-09T18:30:00Z</dcterms:modified>
</cp:coreProperties>
</file>