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2B11F" w14:textId="77777777" w:rsidR="006E4DF1" w:rsidRPr="00273D24" w:rsidRDefault="007525A3" w:rsidP="006E4DF1">
      <w:pPr>
        <w:spacing w:after="0"/>
        <w:jc w:val="center"/>
        <w:rPr>
          <w:rFonts w:ascii="Times New Roman" w:hAnsi="Times New Roman" w:cs="Times New Roman"/>
          <w:b/>
          <w:sz w:val="24"/>
          <w:szCs w:val="24"/>
          <w:u w:val="single"/>
        </w:rPr>
      </w:pPr>
      <w:r w:rsidRPr="00273D24">
        <w:rPr>
          <w:rFonts w:ascii="Times New Roman" w:hAnsi="Times New Roman" w:cs="Times New Roman"/>
          <w:b/>
          <w:sz w:val="24"/>
          <w:szCs w:val="24"/>
          <w:u w:val="single"/>
        </w:rPr>
        <w:t>CONSIDERATIONS REGARDING THE DISCOVERY</w:t>
      </w:r>
    </w:p>
    <w:p w14:paraId="16B1D791" w14:textId="77777777" w:rsidR="007525A3" w:rsidRPr="00273D24" w:rsidRDefault="006E4DF1" w:rsidP="007525A3">
      <w:pPr>
        <w:jc w:val="center"/>
        <w:rPr>
          <w:rFonts w:ascii="Times New Roman" w:hAnsi="Times New Roman" w:cs="Times New Roman"/>
          <w:b/>
          <w:sz w:val="24"/>
          <w:szCs w:val="24"/>
          <w:u w:val="single"/>
        </w:rPr>
      </w:pPr>
      <w:r w:rsidRPr="00273D24">
        <w:rPr>
          <w:rFonts w:ascii="Times New Roman" w:hAnsi="Times New Roman" w:cs="Times New Roman"/>
          <w:b/>
          <w:sz w:val="24"/>
          <w:szCs w:val="24"/>
          <w:u w:val="single"/>
        </w:rPr>
        <w:t xml:space="preserve">AND PRODUCTION </w:t>
      </w:r>
      <w:r w:rsidR="007525A3" w:rsidRPr="00273D24">
        <w:rPr>
          <w:rFonts w:ascii="Times New Roman" w:hAnsi="Times New Roman" w:cs="Times New Roman"/>
          <w:b/>
          <w:sz w:val="24"/>
          <w:szCs w:val="24"/>
          <w:u w:val="single"/>
        </w:rPr>
        <w:t>OF ELECTRONICALLY STORED INFORMATION</w:t>
      </w:r>
    </w:p>
    <w:p w14:paraId="4837BD7F" w14:textId="45E72D18" w:rsidR="005E346C" w:rsidRPr="00273D24" w:rsidRDefault="003A29D0" w:rsidP="005E346C">
      <w:pPr>
        <w:spacing w:after="0"/>
        <w:jc w:val="center"/>
        <w:rPr>
          <w:rFonts w:ascii="Times New Roman" w:hAnsi="Times New Roman" w:cs="Times New Roman"/>
          <w:b/>
          <w:sz w:val="24"/>
          <w:szCs w:val="24"/>
        </w:rPr>
      </w:pPr>
      <w:r w:rsidRPr="00273D24">
        <w:rPr>
          <w:rFonts w:ascii="Times New Roman" w:hAnsi="Times New Roman" w:cs="Times New Roman"/>
          <w:b/>
          <w:sz w:val="24"/>
          <w:szCs w:val="24"/>
        </w:rPr>
        <w:t>Shannan F. Oliver</w:t>
      </w:r>
    </w:p>
    <w:p w14:paraId="50B9DC7E" w14:textId="2405DEDA" w:rsidR="005E346C" w:rsidRPr="00273D24" w:rsidRDefault="005E346C" w:rsidP="005E346C">
      <w:pPr>
        <w:spacing w:after="0"/>
        <w:jc w:val="center"/>
        <w:rPr>
          <w:rFonts w:ascii="Times New Roman" w:hAnsi="Times New Roman" w:cs="Times New Roman"/>
          <w:b/>
          <w:sz w:val="24"/>
          <w:szCs w:val="24"/>
        </w:rPr>
      </w:pPr>
      <w:r w:rsidRPr="00273D24">
        <w:rPr>
          <w:rFonts w:ascii="Times New Roman" w:hAnsi="Times New Roman" w:cs="Times New Roman"/>
          <w:b/>
          <w:sz w:val="24"/>
          <w:szCs w:val="24"/>
        </w:rPr>
        <w:t>Sean C. Ryan</w:t>
      </w:r>
    </w:p>
    <w:p w14:paraId="10431250" w14:textId="77777777" w:rsidR="005E346C" w:rsidRPr="00273D24" w:rsidRDefault="005E346C" w:rsidP="005E346C">
      <w:pPr>
        <w:spacing w:after="0"/>
        <w:jc w:val="center"/>
        <w:rPr>
          <w:rFonts w:ascii="Times New Roman" w:hAnsi="Times New Roman" w:cs="Times New Roman"/>
          <w:b/>
          <w:sz w:val="24"/>
          <w:szCs w:val="24"/>
        </w:rPr>
      </w:pPr>
    </w:p>
    <w:p w14:paraId="1C984890" w14:textId="77777777" w:rsidR="00483408" w:rsidRPr="00273D24" w:rsidRDefault="00D341ED" w:rsidP="00013AE8">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Electronically stored informati</w:t>
      </w:r>
      <w:r w:rsidR="000A1243" w:rsidRPr="00273D24">
        <w:rPr>
          <w:rFonts w:ascii="Times New Roman" w:hAnsi="Times New Roman" w:cs="Times New Roman"/>
          <w:sz w:val="24"/>
          <w:szCs w:val="24"/>
        </w:rPr>
        <w:t xml:space="preserve">on (“ESI”) is a broad term which escapes the </w:t>
      </w:r>
      <w:r w:rsidR="005D2714" w:rsidRPr="00273D24">
        <w:rPr>
          <w:rFonts w:ascii="Times New Roman" w:hAnsi="Times New Roman" w:cs="Times New Roman"/>
          <w:sz w:val="24"/>
          <w:szCs w:val="24"/>
        </w:rPr>
        <w:t>constraint</w:t>
      </w:r>
      <w:r w:rsidR="00EF55BA" w:rsidRPr="00273D24">
        <w:rPr>
          <w:rFonts w:ascii="Times New Roman" w:hAnsi="Times New Roman" w:cs="Times New Roman"/>
          <w:sz w:val="24"/>
          <w:szCs w:val="24"/>
        </w:rPr>
        <w:t>s</w:t>
      </w:r>
      <w:r w:rsidR="000A1243" w:rsidRPr="00273D24">
        <w:rPr>
          <w:rFonts w:ascii="Times New Roman" w:hAnsi="Times New Roman" w:cs="Times New Roman"/>
          <w:sz w:val="24"/>
          <w:szCs w:val="24"/>
        </w:rPr>
        <w:t xml:space="preserve"> of any one definition.</w:t>
      </w:r>
      <w:r w:rsidR="00483408" w:rsidRPr="00273D24">
        <w:rPr>
          <w:rFonts w:ascii="Times New Roman" w:hAnsi="Times New Roman" w:cs="Times New Roman"/>
          <w:sz w:val="24"/>
          <w:szCs w:val="24"/>
        </w:rPr>
        <w:t xml:space="preserve">  While many </w:t>
      </w:r>
      <w:r w:rsidR="0033194B" w:rsidRPr="00273D24">
        <w:rPr>
          <w:rFonts w:ascii="Times New Roman" w:hAnsi="Times New Roman" w:cs="Times New Roman"/>
          <w:sz w:val="24"/>
          <w:szCs w:val="24"/>
        </w:rPr>
        <w:t>equate the term exclusively with</w:t>
      </w:r>
      <w:r w:rsidR="0039365D" w:rsidRPr="00273D24">
        <w:rPr>
          <w:rFonts w:ascii="Times New Roman" w:hAnsi="Times New Roman" w:cs="Times New Roman"/>
          <w:sz w:val="24"/>
          <w:szCs w:val="24"/>
        </w:rPr>
        <w:t xml:space="preserve"> e-mail correspo</w:t>
      </w:r>
      <w:r w:rsidR="005D2714" w:rsidRPr="00273D24">
        <w:rPr>
          <w:rFonts w:ascii="Times New Roman" w:hAnsi="Times New Roman" w:cs="Times New Roman"/>
          <w:sz w:val="24"/>
          <w:szCs w:val="24"/>
        </w:rPr>
        <w:t xml:space="preserve">ndence, ESI includes </w:t>
      </w:r>
      <w:r w:rsidR="0039365D" w:rsidRPr="00273D24">
        <w:rPr>
          <w:rFonts w:ascii="Times New Roman" w:hAnsi="Times New Roman" w:cs="Times New Roman"/>
          <w:sz w:val="24"/>
          <w:szCs w:val="24"/>
        </w:rPr>
        <w:t>limitless source</w:t>
      </w:r>
      <w:r w:rsidR="005D2714" w:rsidRPr="00273D24">
        <w:rPr>
          <w:rFonts w:ascii="Times New Roman" w:hAnsi="Times New Roman" w:cs="Times New Roman"/>
          <w:sz w:val="24"/>
          <w:szCs w:val="24"/>
        </w:rPr>
        <w:t>s</w:t>
      </w:r>
      <w:r w:rsidR="0039365D" w:rsidRPr="00273D24">
        <w:rPr>
          <w:rFonts w:ascii="Times New Roman" w:hAnsi="Times New Roman" w:cs="Times New Roman"/>
          <w:sz w:val="24"/>
          <w:szCs w:val="24"/>
        </w:rPr>
        <w:t xml:space="preserve"> of information including hard drives, magnetic tapes, digital tapes, Web site materials, </w:t>
      </w:r>
      <w:r w:rsidR="00A6193B" w:rsidRPr="00273D24">
        <w:rPr>
          <w:rFonts w:ascii="Times New Roman" w:hAnsi="Times New Roman" w:cs="Times New Roman"/>
          <w:sz w:val="24"/>
          <w:szCs w:val="24"/>
        </w:rPr>
        <w:t xml:space="preserve">microfilm, portable drives, voice mail messages, </w:t>
      </w:r>
      <w:r w:rsidR="005D2714" w:rsidRPr="00273D24">
        <w:rPr>
          <w:rFonts w:ascii="Times New Roman" w:hAnsi="Times New Roman" w:cs="Times New Roman"/>
          <w:sz w:val="24"/>
          <w:szCs w:val="24"/>
        </w:rPr>
        <w:t>and backup</w:t>
      </w:r>
      <w:r w:rsidR="0033194B" w:rsidRPr="00273D24">
        <w:rPr>
          <w:rFonts w:ascii="Times New Roman" w:hAnsi="Times New Roman" w:cs="Times New Roman"/>
          <w:sz w:val="24"/>
          <w:szCs w:val="24"/>
        </w:rPr>
        <w:t xml:space="preserve"> tapes.  In a</w:t>
      </w:r>
      <w:r w:rsidR="005D2714" w:rsidRPr="00273D24">
        <w:rPr>
          <w:rFonts w:ascii="Times New Roman" w:hAnsi="Times New Roman" w:cs="Times New Roman"/>
          <w:sz w:val="24"/>
          <w:szCs w:val="24"/>
        </w:rPr>
        <w:t xml:space="preserve"> formal legal context</w:t>
      </w:r>
      <w:r w:rsidR="00A6193B" w:rsidRPr="00273D24">
        <w:rPr>
          <w:rFonts w:ascii="Times New Roman" w:hAnsi="Times New Roman" w:cs="Times New Roman"/>
          <w:sz w:val="24"/>
          <w:szCs w:val="24"/>
        </w:rPr>
        <w:t>, t</w:t>
      </w:r>
      <w:r w:rsidRPr="00273D24">
        <w:rPr>
          <w:rFonts w:ascii="Times New Roman" w:hAnsi="Times New Roman" w:cs="Times New Roman"/>
          <w:sz w:val="24"/>
          <w:szCs w:val="24"/>
        </w:rPr>
        <w:t xml:space="preserve">he Uniform Rules Relating to the Discovery of Electronically Stored Information defines ESI as “information stored in an electronic medium and </w:t>
      </w:r>
      <w:r w:rsidR="00ED6EC6" w:rsidRPr="00273D24">
        <w:rPr>
          <w:rFonts w:ascii="Times New Roman" w:hAnsi="Times New Roman" w:cs="Times New Roman"/>
          <w:sz w:val="24"/>
          <w:szCs w:val="24"/>
        </w:rPr>
        <w:t xml:space="preserve">. . . </w:t>
      </w:r>
      <w:r w:rsidRPr="00273D24">
        <w:rPr>
          <w:rFonts w:ascii="Times New Roman" w:hAnsi="Times New Roman" w:cs="Times New Roman"/>
          <w:sz w:val="24"/>
          <w:szCs w:val="24"/>
        </w:rPr>
        <w:t>retrievable in perceivable form.”</w:t>
      </w:r>
      <w:r w:rsidRPr="00273D24">
        <w:rPr>
          <w:rStyle w:val="FootnoteReference"/>
          <w:rFonts w:ascii="Times New Roman" w:hAnsi="Times New Roman" w:cs="Times New Roman"/>
          <w:sz w:val="24"/>
          <w:szCs w:val="24"/>
        </w:rPr>
        <w:footnoteReference w:id="1"/>
      </w:r>
      <w:r w:rsidR="00A6193B" w:rsidRPr="00273D24">
        <w:rPr>
          <w:rFonts w:ascii="Times New Roman" w:hAnsi="Times New Roman" w:cs="Times New Roman"/>
          <w:sz w:val="24"/>
          <w:szCs w:val="24"/>
        </w:rPr>
        <w:t xml:space="preserve">  </w:t>
      </w:r>
      <w:r w:rsidR="00ED6EC6" w:rsidRPr="00273D24">
        <w:rPr>
          <w:rFonts w:ascii="Times New Roman" w:hAnsi="Times New Roman" w:cs="Times New Roman"/>
          <w:sz w:val="24"/>
          <w:szCs w:val="24"/>
        </w:rPr>
        <w:t>I</w:t>
      </w:r>
      <w:r w:rsidR="00A6193B" w:rsidRPr="00273D24">
        <w:rPr>
          <w:rFonts w:ascii="Times New Roman" w:hAnsi="Times New Roman" w:cs="Times New Roman"/>
          <w:sz w:val="24"/>
          <w:szCs w:val="24"/>
        </w:rPr>
        <w:t>n practice</w:t>
      </w:r>
      <w:r w:rsidR="00CB4902" w:rsidRPr="00273D24">
        <w:rPr>
          <w:rFonts w:ascii="Times New Roman" w:hAnsi="Times New Roman" w:cs="Times New Roman"/>
          <w:sz w:val="24"/>
          <w:szCs w:val="24"/>
        </w:rPr>
        <w:t>,</w:t>
      </w:r>
      <w:r w:rsidR="009F007E" w:rsidRPr="00273D24">
        <w:rPr>
          <w:rFonts w:ascii="Times New Roman" w:hAnsi="Times New Roman" w:cs="Times New Roman"/>
          <w:sz w:val="24"/>
          <w:szCs w:val="24"/>
        </w:rPr>
        <w:t xml:space="preserve"> ESI eff</w:t>
      </w:r>
      <w:r w:rsidR="00907BCC" w:rsidRPr="00273D24">
        <w:rPr>
          <w:rFonts w:ascii="Times New Roman" w:hAnsi="Times New Roman" w:cs="Times New Roman"/>
          <w:sz w:val="24"/>
          <w:szCs w:val="24"/>
        </w:rPr>
        <w:t>ectively encompasses all recognizable</w:t>
      </w:r>
      <w:r w:rsidR="009F007E" w:rsidRPr="00273D24">
        <w:rPr>
          <w:rFonts w:ascii="Times New Roman" w:hAnsi="Times New Roman" w:cs="Times New Roman"/>
          <w:sz w:val="24"/>
          <w:szCs w:val="24"/>
        </w:rPr>
        <w:t xml:space="preserve"> types of computer-based information</w:t>
      </w:r>
      <w:r w:rsidR="00ED6EC6" w:rsidRPr="00273D24">
        <w:rPr>
          <w:rFonts w:ascii="Times New Roman" w:hAnsi="Times New Roman" w:cs="Times New Roman"/>
          <w:sz w:val="24"/>
          <w:szCs w:val="24"/>
        </w:rPr>
        <w:t>,</w:t>
      </w:r>
      <w:r w:rsidR="009F007E" w:rsidRPr="00273D24">
        <w:rPr>
          <w:rFonts w:ascii="Times New Roman" w:hAnsi="Times New Roman" w:cs="Times New Roman"/>
          <w:sz w:val="24"/>
          <w:szCs w:val="24"/>
        </w:rPr>
        <w:t xml:space="preserve"> along with all </w:t>
      </w:r>
      <w:r w:rsidR="00907BCC" w:rsidRPr="00273D24">
        <w:rPr>
          <w:rFonts w:ascii="Times New Roman" w:hAnsi="Times New Roman" w:cs="Times New Roman"/>
          <w:sz w:val="24"/>
          <w:szCs w:val="24"/>
        </w:rPr>
        <w:t>future iterations</w:t>
      </w:r>
      <w:r w:rsidR="009F007E" w:rsidRPr="00273D24">
        <w:rPr>
          <w:rFonts w:ascii="Times New Roman" w:hAnsi="Times New Roman" w:cs="Times New Roman"/>
          <w:sz w:val="24"/>
          <w:szCs w:val="24"/>
        </w:rPr>
        <w:t xml:space="preserve"> and developments.</w:t>
      </w:r>
      <w:r w:rsidR="009F007E" w:rsidRPr="00273D24">
        <w:rPr>
          <w:rStyle w:val="FootnoteReference"/>
          <w:rFonts w:ascii="Times New Roman" w:hAnsi="Times New Roman" w:cs="Times New Roman"/>
          <w:sz w:val="24"/>
          <w:szCs w:val="24"/>
        </w:rPr>
        <w:footnoteReference w:id="2"/>
      </w:r>
      <w:r w:rsidR="007608E6" w:rsidRPr="00273D24">
        <w:rPr>
          <w:rFonts w:ascii="Times New Roman" w:hAnsi="Times New Roman" w:cs="Times New Roman"/>
          <w:sz w:val="24"/>
          <w:szCs w:val="24"/>
        </w:rPr>
        <w:t xml:space="preserve">  </w:t>
      </w:r>
    </w:p>
    <w:p w14:paraId="19247722" w14:textId="77777777" w:rsidR="00F22285" w:rsidRPr="00273D24" w:rsidRDefault="000F7C7D" w:rsidP="00013AE8">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C</w:t>
      </w:r>
      <w:r w:rsidR="000A1243" w:rsidRPr="00273D24">
        <w:rPr>
          <w:rFonts w:ascii="Times New Roman" w:hAnsi="Times New Roman" w:cs="Times New Roman"/>
          <w:sz w:val="24"/>
          <w:szCs w:val="24"/>
        </w:rPr>
        <w:t>onsidering this broad</w:t>
      </w:r>
      <w:r w:rsidR="00C366F2" w:rsidRPr="00273D24">
        <w:rPr>
          <w:rFonts w:ascii="Times New Roman" w:hAnsi="Times New Roman" w:cs="Times New Roman"/>
          <w:sz w:val="24"/>
          <w:szCs w:val="24"/>
        </w:rPr>
        <w:t xml:space="preserve"> scope, </w:t>
      </w:r>
      <w:r w:rsidR="005C5E97" w:rsidRPr="00273D24">
        <w:rPr>
          <w:rFonts w:ascii="Times New Roman" w:hAnsi="Times New Roman" w:cs="Times New Roman"/>
          <w:sz w:val="24"/>
          <w:szCs w:val="24"/>
        </w:rPr>
        <w:t>practitioners</w:t>
      </w:r>
      <w:r w:rsidR="00C366F2" w:rsidRPr="00273D24">
        <w:rPr>
          <w:rFonts w:ascii="Times New Roman" w:hAnsi="Times New Roman" w:cs="Times New Roman"/>
          <w:sz w:val="24"/>
          <w:szCs w:val="24"/>
        </w:rPr>
        <w:t xml:space="preserve"> must be cognizant of the rules and pitfalls “uniquely associated with electronic materials when planning and managing litigation.”</w:t>
      </w:r>
      <w:r w:rsidR="00C366F2" w:rsidRPr="00273D24">
        <w:rPr>
          <w:rStyle w:val="FootnoteReference"/>
          <w:rFonts w:ascii="Times New Roman" w:hAnsi="Times New Roman" w:cs="Times New Roman"/>
          <w:sz w:val="24"/>
          <w:szCs w:val="24"/>
        </w:rPr>
        <w:footnoteReference w:id="3"/>
      </w:r>
      <w:r w:rsidR="005C5E97" w:rsidRPr="00273D24">
        <w:rPr>
          <w:rFonts w:ascii="Times New Roman" w:hAnsi="Times New Roman" w:cs="Times New Roman"/>
          <w:sz w:val="24"/>
          <w:szCs w:val="24"/>
        </w:rPr>
        <w:t xml:space="preserve">  For a basic understanding of these issues, many </w:t>
      </w:r>
      <w:r w:rsidRPr="00273D24">
        <w:rPr>
          <w:rFonts w:ascii="Times New Roman" w:hAnsi="Times New Roman" w:cs="Times New Roman"/>
          <w:sz w:val="24"/>
          <w:szCs w:val="24"/>
        </w:rPr>
        <w:t xml:space="preserve">turn to </w:t>
      </w:r>
      <w:r w:rsidR="007608E6" w:rsidRPr="00273D24">
        <w:rPr>
          <w:rFonts w:ascii="Times New Roman" w:hAnsi="Times New Roman" w:cs="Times New Roman"/>
          <w:sz w:val="24"/>
          <w:szCs w:val="24"/>
        </w:rPr>
        <w:t xml:space="preserve">the seminal case involving ESI, </w:t>
      </w:r>
      <w:r w:rsidR="007608E6" w:rsidRPr="00273D24">
        <w:rPr>
          <w:rFonts w:ascii="Times New Roman" w:hAnsi="Times New Roman" w:cs="Times New Roman"/>
          <w:sz w:val="24"/>
          <w:szCs w:val="24"/>
          <w:u w:val="single"/>
        </w:rPr>
        <w:t>Zubulake v. UBS Warbu</w:t>
      </w:r>
      <w:r w:rsidR="008B24A0" w:rsidRPr="00273D24">
        <w:rPr>
          <w:rFonts w:ascii="Times New Roman" w:hAnsi="Times New Roman" w:cs="Times New Roman"/>
          <w:sz w:val="24"/>
          <w:szCs w:val="24"/>
          <w:u w:val="single"/>
        </w:rPr>
        <w:t>r</w:t>
      </w:r>
      <w:r w:rsidR="007608E6" w:rsidRPr="00273D24">
        <w:rPr>
          <w:rFonts w:ascii="Times New Roman" w:hAnsi="Times New Roman" w:cs="Times New Roman"/>
          <w:sz w:val="24"/>
          <w:szCs w:val="24"/>
          <w:u w:val="single"/>
        </w:rPr>
        <w:t>g LLC</w:t>
      </w:r>
      <w:r w:rsidR="007608E6" w:rsidRPr="00273D24">
        <w:rPr>
          <w:rFonts w:ascii="Times New Roman" w:hAnsi="Times New Roman" w:cs="Times New Roman"/>
          <w:sz w:val="24"/>
          <w:szCs w:val="24"/>
        </w:rPr>
        <w:t xml:space="preserve">, </w:t>
      </w:r>
      <w:r w:rsidRPr="00273D24">
        <w:rPr>
          <w:rFonts w:ascii="Times New Roman" w:hAnsi="Times New Roman" w:cs="Times New Roman"/>
          <w:sz w:val="24"/>
          <w:szCs w:val="24"/>
        </w:rPr>
        <w:t xml:space="preserve">in which </w:t>
      </w:r>
      <w:r w:rsidR="007608E6" w:rsidRPr="00273D24">
        <w:rPr>
          <w:rFonts w:ascii="Times New Roman" w:hAnsi="Times New Roman" w:cs="Times New Roman"/>
          <w:sz w:val="24"/>
          <w:szCs w:val="24"/>
        </w:rPr>
        <w:t xml:space="preserve">Judge Scheindlin </w:t>
      </w:r>
      <w:r w:rsidRPr="00273D24">
        <w:rPr>
          <w:rFonts w:ascii="Times New Roman" w:hAnsi="Times New Roman" w:cs="Times New Roman"/>
          <w:sz w:val="24"/>
          <w:szCs w:val="24"/>
        </w:rPr>
        <w:t>divided</w:t>
      </w:r>
      <w:r w:rsidR="005C5E97" w:rsidRPr="00273D24">
        <w:rPr>
          <w:rFonts w:ascii="Times New Roman" w:hAnsi="Times New Roman" w:cs="Times New Roman"/>
          <w:sz w:val="24"/>
          <w:szCs w:val="24"/>
        </w:rPr>
        <w:t xml:space="preserve"> ESI, for discovery purposes, </w:t>
      </w:r>
      <w:r w:rsidR="007608E6" w:rsidRPr="00273D24">
        <w:rPr>
          <w:rFonts w:ascii="Times New Roman" w:hAnsi="Times New Roman" w:cs="Times New Roman"/>
          <w:sz w:val="24"/>
          <w:szCs w:val="24"/>
        </w:rPr>
        <w:t xml:space="preserve">into two broad </w:t>
      </w:r>
      <w:r w:rsidR="00AD4BDB" w:rsidRPr="00273D24">
        <w:rPr>
          <w:rFonts w:ascii="Times New Roman" w:hAnsi="Times New Roman" w:cs="Times New Roman"/>
          <w:sz w:val="24"/>
          <w:szCs w:val="24"/>
        </w:rPr>
        <w:t>categories.</w:t>
      </w:r>
      <w:r w:rsidR="00AD4BDB" w:rsidRPr="00273D24">
        <w:rPr>
          <w:rStyle w:val="FootnoteReference"/>
          <w:rFonts w:ascii="Times New Roman" w:hAnsi="Times New Roman" w:cs="Times New Roman"/>
          <w:sz w:val="24"/>
          <w:szCs w:val="24"/>
        </w:rPr>
        <w:footnoteReference w:id="4"/>
      </w:r>
      <w:r w:rsidR="009D3160" w:rsidRPr="00273D24">
        <w:rPr>
          <w:rFonts w:ascii="Times New Roman" w:hAnsi="Times New Roman" w:cs="Times New Roman"/>
          <w:sz w:val="24"/>
          <w:szCs w:val="24"/>
        </w:rPr>
        <w:t xml:space="preserve">  The first category</w:t>
      </w:r>
      <w:r w:rsidR="005C5E97" w:rsidRPr="00273D24">
        <w:rPr>
          <w:rFonts w:ascii="Times New Roman" w:hAnsi="Times New Roman" w:cs="Times New Roman"/>
          <w:sz w:val="24"/>
          <w:szCs w:val="24"/>
        </w:rPr>
        <w:t xml:space="preserve"> of ESI</w:t>
      </w:r>
      <w:r w:rsidR="00907BCC" w:rsidRPr="00273D24">
        <w:rPr>
          <w:rFonts w:ascii="Times New Roman" w:hAnsi="Times New Roman" w:cs="Times New Roman"/>
          <w:sz w:val="24"/>
          <w:szCs w:val="24"/>
        </w:rPr>
        <w:t xml:space="preserve"> is</w:t>
      </w:r>
      <w:r w:rsidR="009D3160" w:rsidRPr="00273D24">
        <w:rPr>
          <w:rFonts w:ascii="Times New Roman" w:hAnsi="Times New Roman" w:cs="Times New Roman"/>
          <w:sz w:val="24"/>
          <w:szCs w:val="24"/>
        </w:rPr>
        <w:t xml:space="preserve"> </w:t>
      </w:r>
      <w:r w:rsidR="00787DD2" w:rsidRPr="00273D24">
        <w:rPr>
          <w:rFonts w:ascii="Times New Roman" w:hAnsi="Times New Roman" w:cs="Times New Roman"/>
          <w:sz w:val="24"/>
          <w:szCs w:val="24"/>
        </w:rPr>
        <w:t>“</w:t>
      </w:r>
      <w:r w:rsidR="009D3160" w:rsidRPr="00273D24">
        <w:rPr>
          <w:rFonts w:ascii="Times New Roman" w:hAnsi="Times New Roman" w:cs="Times New Roman"/>
          <w:sz w:val="24"/>
          <w:szCs w:val="24"/>
        </w:rPr>
        <w:t>data kept in an accessible format</w:t>
      </w:r>
      <w:r w:rsidR="00ED6EC6" w:rsidRPr="00273D24">
        <w:rPr>
          <w:rFonts w:ascii="Times New Roman" w:hAnsi="Times New Roman" w:cs="Times New Roman"/>
          <w:sz w:val="24"/>
          <w:szCs w:val="24"/>
        </w:rPr>
        <w:t>,</w:t>
      </w:r>
      <w:r w:rsidR="00787DD2" w:rsidRPr="00273D24">
        <w:rPr>
          <w:rFonts w:ascii="Times New Roman" w:hAnsi="Times New Roman" w:cs="Times New Roman"/>
          <w:sz w:val="24"/>
          <w:szCs w:val="24"/>
        </w:rPr>
        <w:t>” such as that</w:t>
      </w:r>
      <w:r w:rsidR="005C5E97" w:rsidRPr="00273D24">
        <w:rPr>
          <w:rFonts w:ascii="Times New Roman" w:hAnsi="Times New Roman" w:cs="Times New Roman"/>
          <w:sz w:val="24"/>
          <w:szCs w:val="24"/>
        </w:rPr>
        <w:t xml:space="preserve"> typically</w:t>
      </w:r>
      <w:r w:rsidR="00787DD2" w:rsidRPr="00273D24">
        <w:rPr>
          <w:rFonts w:ascii="Times New Roman" w:hAnsi="Times New Roman" w:cs="Times New Roman"/>
          <w:sz w:val="24"/>
          <w:szCs w:val="24"/>
        </w:rPr>
        <w:t xml:space="preserve"> found on hard drive</w:t>
      </w:r>
      <w:r w:rsidR="005C5E97" w:rsidRPr="00273D24">
        <w:rPr>
          <w:rFonts w:ascii="Times New Roman" w:hAnsi="Times New Roman" w:cs="Times New Roman"/>
          <w:sz w:val="24"/>
          <w:szCs w:val="24"/>
        </w:rPr>
        <w:t>s</w:t>
      </w:r>
      <w:r w:rsidR="00787DD2" w:rsidRPr="00273D24">
        <w:rPr>
          <w:rFonts w:ascii="Times New Roman" w:hAnsi="Times New Roman" w:cs="Times New Roman"/>
          <w:sz w:val="24"/>
          <w:szCs w:val="24"/>
        </w:rPr>
        <w:t>, optical disks, and offline storage</w:t>
      </w:r>
      <w:r w:rsidR="005C5E97" w:rsidRPr="00273D24">
        <w:rPr>
          <w:rFonts w:ascii="Times New Roman" w:hAnsi="Times New Roman" w:cs="Times New Roman"/>
          <w:sz w:val="24"/>
          <w:szCs w:val="24"/>
        </w:rPr>
        <w:t xml:space="preserve"> mechanisms </w:t>
      </w:r>
      <w:r w:rsidR="008B24A0" w:rsidRPr="00273D24">
        <w:rPr>
          <w:rFonts w:ascii="Times New Roman" w:hAnsi="Times New Roman" w:cs="Times New Roman"/>
          <w:sz w:val="24"/>
          <w:szCs w:val="24"/>
        </w:rPr>
        <w:t>and</w:t>
      </w:r>
      <w:r w:rsidR="00787DD2" w:rsidRPr="00273D24">
        <w:rPr>
          <w:rFonts w:ascii="Times New Roman" w:hAnsi="Times New Roman" w:cs="Times New Roman"/>
          <w:sz w:val="24"/>
          <w:szCs w:val="24"/>
        </w:rPr>
        <w:t xml:space="preserve"> archives.</w:t>
      </w:r>
      <w:r w:rsidR="00787DD2" w:rsidRPr="00273D24">
        <w:rPr>
          <w:rStyle w:val="FootnoteReference"/>
          <w:rFonts w:ascii="Times New Roman" w:hAnsi="Times New Roman" w:cs="Times New Roman"/>
          <w:sz w:val="24"/>
          <w:szCs w:val="24"/>
        </w:rPr>
        <w:footnoteReference w:id="5"/>
      </w:r>
      <w:r w:rsidR="00787DD2" w:rsidRPr="00273D24">
        <w:rPr>
          <w:rFonts w:ascii="Times New Roman" w:hAnsi="Times New Roman" w:cs="Times New Roman"/>
          <w:sz w:val="24"/>
          <w:szCs w:val="24"/>
        </w:rPr>
        <w:t xml:space="preserve">  The second cat</w:t>
      </w:r>
      <w:r w:rsidR="00F944B1" w:rsidRPr="00273D24">
        <w:rPr>
          <w:rFonts w:ascii="Times New Roman" w:hAnsi="Times New Roman" w:cs="Times New Roman"/>
          <w:sz w:val="24"/>
          <w:szCs w:val="24"/>
        </w:rPr>
        <w:t xml:space="preserve">egory is electronic data that </w:t>
      </w:r>
      <w:r w:rsidR="009705D6" w:rsidRPr="00273D24">
        <w:rPr>
          <w:rFonts w:ascii="Times New Roman" w:hAnsi="Times New Roman" w:cs="Times New Roman"/>
          <w:sz w:val="24"/>
          <w:szCs w:val="24"/>
        </w:rPr>
        <w:t xml:space="preserve">is </w:t>
      </w:r>
      <w:r w:rsidR="00F944B1" w:rsidRPr="00273D24">
        <w:rPr>
          <w:rFonts w:ascii="Times New Roman" w:hAnsi="Times New Roman" w:cs="Times New Roman"/>
          <w:sz w:val="24"/>
          <w:szCs w:val="24"/>
        </w:rPr>
        <w:t xml:space="preserve">are </w:t>
      </w:r>
      <w:r w:rsidR="009705D6" w:rsidRPr="00273D24">
        <w:rPr>
          <w:rFonts w:ascii="Times New Roman" w:hAnsi="Times New Roman" w:cs="Times New Roman"/>
          <w:sz w:val="24"/>
          <w:szCs w:val="24"/>
        </w:rPr>
        <w:t>“</w:t>
      </w:r>
      <w:r w:rsidR="00F944B1" w:rsidRPr="00273D24">
        <w:rPr>
          <w:rFonts w:ascii="Times New Roman" w:hAnsi="Times New Roman" w:cs="Times New Roman"/>
          <w:sz w:val="24"/>
          <w:szCs w:val="24"/>
        </w:rPr>
        <w:t xml:space="preserve">relatively inaccessible,” such as backup tapes and </w:t>
      </w:r>
      <w:r w:rsidR="00F944B1" w:rsidRPr="00273D24">
        <w:rPr>
          <w:rFonts w:ascii="Times New Roman" w:hAnsi="Times New Roman" w:cs="Times New Roman"/>
          <w:sz w:val="24"/>
          <w:szCs w:val="24"/>
        </w:rPr>
        <w:lastRenderedPageBreak/>
        <w:t>erased, fragmented, or damage</w:t>
      </w:r>
      <w:r w:rsidR="00C95A6E" w:rsidRPr="00273D24">
        <w:rPr>
          <w:rFonts w:ascii="Times New Roman" w:hAnsi="Times New Roman" w:cs="Times New Roman"/>
          <w:sz w:val="24"/>
          <w:szCs w:val="24"/>
        </w:rPr>
        <w:t>d</w:t>
      </w:r>
      <w:r w:rsidR="00F944B1" w:rsidRPr="00273D24">
        <w:rPr>
          <w:rFonts w:ascii="Times New Roman" w:hAnsi="Times New Roman" w:cs="Times New Roman"/>
          <w:sz w:val="24"/>
          <w:szCs w:val="24"/>
        </w:rPr>
        <w:t xml:space="preserve"> data.</w:t>
      </w:r>
      <w:r w:rsidR="0055119E" w:rsidRPr="00273D24">
        <w:rPr>
          <w:rStyle w:val="FootnoteReference"/>
          <w:rFonts w:ascii="Times New Roman" w:hAnsi="Times New Roman" w:cs="Times New Roman"/>
          <w:sz w:val="24"/>
          <w:szCs w:val="24"/>
        </w:rPr>
        <w:footnoteReference w:id="6"/>
      </w:r>
      <w:r w:rsidR="008C0E50" w:rsidRPr="00273D24">
        <w:rPr>
          <w:rFonts w:ascii="Times New Roman" w:hAnsi="Times New Roman" w:cs="Times New Roman"/>
          <w:sz w:val="24"/>
          <w:szCs w:val="24"/>
        </w:rPr>
        <w:t xml:space="preserve">  According to </w:t>
      </w:r>
      <w:r w:rsidR="00ED6EC6" w:rsidRPr="00273D24">
        <w:rPr>
          <w:rFonts w:ascii="Times New Roman" w:hAnsi="Times New Roman" w:cs="Times New Roman"/>
          <w:sz w:val="24"/>
          <w:szCs w:val="24"/>
        </w:rPr>
        <w:t xml:space="preserve">the New York </w:t>
      </w:r>
      <w:r w:rsidR="008C0E50" w:rsidRPr="00273D24">
        <w:rPr>
          <w:rFonts w:ascii="Times New Roman" w:hAnsi="Times New Roman" w:cs="Times New Roman"/>
          <w:sz w:val="24"/>
          <w:szCs w:val="24"/>
        </w:rPr>
        <w:t>court,</w:t>
      </w:r>
      <w:r w:rsidR="007940F6" w:rsidRPr="00273D24">
        <w:rPr>
          <w:rFonts w:ascii="Times New Roman" w:hAnsi="Times New Roman" w:cs="Times New Roman"/>
          <w:sz w:val="24"/>
          <w:szCs w:val="24"/>
        </w:rPr>
        <w:t xml:space="preserve"> “the usual rules of discovery apply [</w:t>
      </w:r>
      <w:r w:rsidR="003E65F1" w:rsidRPr="00273D24">
        <w:rPr>
          <w:rFonts w:ascii="Times New Roman" w:hAnsi="Times New Roman" w:cs="Times New Roman"/>
          <w:sz w:val="24"/>
          <w:szCs w:val="24"/>
        </w:rPr>
        <w:t>to data kept in an accessible format, and]</w:t>
      </w:r>
      <w:r w:rsidR="007940F6" w:rsidRPr="00273D24">
        <w:rPr>
          <w:rFonts w:ascii="Times New Roman" w:hAnsi="Times New Roman" w:cs="Times New Roman"/>
          <w:sz w:val="24"/>
          <w:szCs w:val="24"/>
        </w:rPr>
        <w:t xml:space="preserve"> the responding party should pay the costs of producing responsive data.”</w:t>
      </w:r>
      <w:r w:rsidR="0020089B" w:rsidRPr="00273D24">
        <w:rPr>
          <w:rStyle w:val="FootnoteReference"/>
          <w:rFonts w:ascii="Times New Roman" w:hAnsi="Times New Roman" w:cs="Times New Roman"/>
          <w:sz w:val="24"/>
          <w:szCs w:val="24"/>
        </w:rPr>
        <w:footnoteReference w:id="7"/>
      </w:r>
      <w:r w:rsidR="007940F6" w:rsidRPr="00273D24">
        <w:rPr>
          <w:rFonts w:ascii="Times New Roman" w:hAnsi="Times New Roman" w:cs="Times New Roman"/>
          <w:sz w:val="24"/>
          <w:szCs w:val="24"/>
        </w:rPr>
        <w:t xml:space="preserve">  However, </w:t>
      </w:r>
      <w:r w:rsidR="00F07946" w:rsidRPr="00273D24">
        <w:rPr>
          <w:rFonts w:ascii="Times New Roman" w:hAnsi="Times New Roman" w:cs="Times New Roman"/>
          <w:sz w:val="24"/>
          <w:szCs w:val="24"/>
        </w:rPr>
        <w:t xml:space="preserve">for the second category, </w:t>
      </w:r>
      <w:r w:rsidR="00D24E56" w:rsidRPr="00273D24">
        <w:rPr>
          <w:rFonts w:ascii="Times New Roman" w:hAnsi="Times New Roman" w:cs="Times New Roman"/>
          <w:sz w:val="24"/>
          <w:szCs w:val="24"/>
        </w:rPr>
        <w:t xml:space="preserve">the court </w:t>
      </w:r>
      <w:r w:rsidR="00F07946" w:rsidRPr="00273D24">
        <w:rPr>
          <w:rFonts w:ascii="Times New Roman" w:hAnsi="Times New Roman" w:cs="Times New Roman"/>
          <w:sz w:val="24"/>
          <w:szCs w:val="24"/>
        </w:rPr>
        <w:t xml:space="preserve">considers </w:t>
      </w:r>
      <w:r w:rsidR="00D24E56" w:rsidRPr="00273D24">
        <w:rPr>
          <w:rFonts w:ascii="Times New Roman" w:hAnsi="Times New Roman" w:cs="Times New Roman"/>
          <w:sz w:val="24"/>
          <w:szCs w:val="24"/>
        </w:rPr>
        <w:t xml:space="preserve">a number of factors to determine whether </w:t>
      </w:r>
      <w:r w:rsidR="00FB116C" w:rsidRPr="00273D24">
        <w:rPr>
          <w:rFonts w:ascii="Times New Roman" w:hAnsi="Times New Roman" w:cs="Times New Roman"/>
          <w:sz w:val="24"/>
          <w:szCs w:val="24"/>
        </w:rPr>
        <w:t xml:space="preserve">the requesting party </w:t>
      </w:r>
      <w:r w:rsidR="00F07946" w:rsidRPr="00273D24">
        <w:rPr>
          <w:rFonts w:ascii="Times New Roman" w:hAnsi="Times New Roman" w:cs="Times New Roman"/>
          <w:sz w:val="24"/>
          <w:szCs w:val="24"/>
        </w:rPr>
        <w:t xml:space="preserve">should </w:t>
      </w:r>
      <w:r w:rsidR="00FB116C" w:rsidRPr="00273D24">
        <w:rPr>
          <w:rFonts w:ascii="Times New Roman" w:hAnsi="Times New Roman" w:cs="Times New Roman"/>
          <w:sz w:val="24"/>
          <w:szCs w:val="24"/>
        </w:rPr>
        <w:t>bear the costs of production</w:t>
      </w:r>
      <w:r w:rsidR="00D24E56" w:rsidRPr="00273D24">
        <w:rPr>
          <w:rFonts w:ascii="Times New Roman" w:hAnsi="Times New Roman" w:cs="Times New Roman"/>
          <w:sz w:val="24"/>
          <w:szCs w:val="24"/>
        </w:rPr>
        <w:t>.</w:t>
      </w:r>
      <w:r w:rsidR="00D24E56" w:rsidRPr="00273D24">
        <w:rPr>
          <w:rStyle w:val="FootnoteReference"/>
          <w:rFonts w:ascii="Times New Roman" w:hAnsi="Times New Roman" w:cs="Times New Roman"/>
          <w:sz w:val="24"/>
          <w:szCs w:val="24"/>
        </w:rPr>
        <w:footnoteReference w:id="8"/>
      </w:r>
      <w:r w:rsidR="00F22285" w:rsidRPr="00273D24">
        <w:rPr>
          <w:rFonts w:ascii="Times New Roman" w:hAnsi="Times New Roman" w:cs="Times New Roman"/>
          <w:sz w:val="24"/>
          <w:szCs w:val="24"/>
        </w:rPr>
        <w:t xml:space="preserve">  </w:t>
      </w:r>
      <w:r w:rsidR="00B8310C" w:rsidRPr="00273D24">
        <w:rPr>
          <w:rFonts w:ascii="Times New Roman" w:hAnsi="Times New Roman" w:cs="Times New Roman"/>
          <w:sz w:val="24"/>
          <w:szCs w:val="24"/>
        </w:rPr>
        <w:t xml:space="preserve"> </w:t>
      </w:r>
      <w:r w:rsidR="00F07946" w:rsidRPr="00273D24">
        <w:rPr>
          <w:rFonts w:ascii="Times New Roman" w:hAnsi="Times New Roman" w:cs="Times New Roman"/>
          <w:sz w:val="24"/>
          <w:szCs w:val="24"/>
        </w:rPr>
        <w:t xml:space="preserve">Other courts </w:t>
      </w:r>
      <w:r w:rsidR="00F22285" w:rsidRPr="00273D24">
        <w:rPr>
          <w:rFonts w:ascii="Times New Roman" w:hAnsi="Times New Roman" w:cs="Times New Roman"/>
          <w:sz w:val="24"/>
          <w:szCs w:val="24"/>
        </w:rPr>
        <w:t xml:space="preserve">increasingly rely on </w:t>
      </w:r>
      <w:r w:rsidR="00F22285" w:rsidRPr="00273D24">
        <w:rPr>
          <w:rFonts w:ascii="Times New Roman" w:hAnsi="Times New Roman" w:cs="Times New Roman"/>
          <w:sz w:val="24"/>
          <w:szCs w:val="24"/>
          <w:u w:val="single"/>
        </w:rPr>
        <w:t>Zubulake</w:t>
      </w:r>
      <w:r w:rsidR="00F22285" w:rsidRPr="00273D24">
        <w:rPr>
          <w:rFonts w:ascii="Times New Roman" w:hAnsi="Times New Roman" w:cs="Times New Roman"/>
          <w:sz w:val="24"/>
          <w:szCs w:val="24"/>
        </w:rPr>
        <w:t xml:space="preserve"> as a guide for determining cost allocation during discovery.</w:t>
      </w:r>
    </w:p>
    <w:p w14:paraId="26FB1D62" w14:textId="77777777" w:rsidR="00D341ED" w:rsidRPr="00273D24" w:rsidRDefault="00154628" w:rsidP="00013AE8">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In 2006, no</w:t>
      </w:r>
      <w:r w:rsidR="00724B45" w:rsidRPr="00273D24">
        <w:rPr>
          <w:rFonts w:ascii="Times New Roman" w:hAnsi="Times New Roman" w:cs="Times New Roman"/>
          <w:sz w:val="24"/>
          <w:szCs w:val="24"/>
        </w:rPr>
        <w:t xml:space="preserve">t long after </w:t>
      </w:r>
      <w:r w:rsidR="00724B45" w:rsidRPr="00273D24">
        <w:rPr>
          <w:rFonts w:ascii="Times New Roman" w:hAnsi="Times New Roman" w:cs="Times New Roman"/>
          <w:sz w:val="24"/>
          <w:szCs w:val="24"/>
          <w:u w:val="single"/>
        </w:rPr>
        <w:t>Zubulake</w:t>
      </w:r>
      <w:r w:rsidR="009B230E" w:rsidRPr="00273D24">
        <w:rPr>
          <w:rFonts w:ascii="Times New Roman" w:hAnsi="Times New Roman" w:cs="Times New Roman"/>
          <w:sz w:val="24"/>
          <w:szCs w:val="24"/>
        </w:rPr>
        <w:t xml:space="preserve">, </w:t>
      </w:r>
      <w:r w:rsidRPr="00273D24">
        <w:rPr>
          <w:rFonts w:ascii="Times New Roman" w:hAnsi="Times New Roman" w:cs="Times New Roman"/>
          <w:sz w:val="24"/>
          <w:szCs w:val="24"/>
        </w:rPr>
        <w:t xml:space="preserve">the </w:t>
      </w:r>
      <w:r w:rsidR="009B230E" w:rsidRPr="00273D24">
        <w:rPr>
          <w:rFonts w:ascii="Times New Roman" w:hAnsi="Times New Roman" w:cs="Times New Roman"/>
          <w:sz w:val="24"/>
          <w:szCs w:val="24"/>
        </w:rPr>
        <w:t xml:space="preserve">Federal Rules of Civil </w:t>
      </w:r>
      <w:r w:rsidR="00AF0ED2" w:rsidRPr="00273D24">
        <w:rPr>
          <w:rFonts w:ascii="Times New Roman" w:hAnsi="Times New Roman" w:cs="Times New Roman"/>
          <w:sz w:val="24"/>
          <w:szCs w:val="24"/>
        </w:rPr>
        <w:t xml:space="preserve">Procedure </w:t>
      </w:r>
      <w:r w:rsidRPr="00273D24">
        <w:rPr>
          <w:rFonts w:ascii="Times New Roman" w:hAnsi="Times New Roman" w:cs="Times New Roman"/>
          <w:sz w:val="24"/>
          <w:szCs w:val="24"/>
        </w:rPr>
        <w:t>were amended</w:t>
      </w:r>
      <w:r w:rsidR="00AB75F9" w:rsidRPr="00273D24">
        <w:rPr>
          <w:rFonts w:ascii="Times New Roman" w:hAnsi="Times New Roman" w:cs="Times New Roman"/>
          <w:sz w:val="24"/>
          <w:szCs w:val="24"/>
        </w:rPr>
        <w:t>.</w:t>
      </w:r>
      <w:r w:rsidR="00AB75F9" w:rsidRPr="00273D24">
        <w:rPr>
          <w:rStyle w:val="FootnoteReference"/>
          <w:rFonts w:ascii="Times New Roman" w:hAnsi="Times New Roman" w:cs="Times New Roman"/>
          <w:sz w:val="24"/>
          <w:szCs w:val="24"/>
        </w:rPr>
        <w:footnoteReference w:id="9"/>
      </w:r>
      <w:r w:rsidR="00AB75F9" w:rsidRPr="00273D24">
        <w:rPr>
          <w:rFonts w:ascii="Times New Roman" w:hAnsi="Times New Roman" w:cs="Times New Roman"/>
          <w:sz w:val="24"/>
          <w:szCs w:val="24"/>
        </w:rPr>
        <w:t xml:space="preserve">  The</w:t>
      </w:r>
      <w:r w:rsidR="00221A59" w:rsidRPr="00273D24">
        <w:rPr>
          <w:rFonts w:ascii="Times New Roman" w:hAnsi="Times New Roman" w:cs="Times New Roman"/>
          <w:sz w:val="24"/>
          <w:szCs w:val="24"/>
        </w:rPr>
        <w:t>s</w:t>
      </w:r>
      <w:r w:rsidR="00AB75F9" w:rsidRPr="00273D24">
        <w:rPr>
          <w:rFonts w:ascii="Times New Roman" w:hAnsi="Times New Roman" w:cs="Times New Roman"/>
          <w:sz w:val="24"/>
          <w:szCs w:val="24"/>
        </w:rPr>
        <w:t xml:space="preserve">e amendments were </w:t>
      </w:r>
      <w:r w:rsidR="008B24A0" w:rsidRPr="00273D24">
        <w:rPr>
          <w:rFonts w:ascii="Times New Roman" w:hAnsi="Times New Roman" w:cs="Times New Roman"/>
          <w:sz w:val="24"/>
          <w:szCs w:val="24"/>
        </w:rPr>
        <w:t>drafted in</w:t>
      </w:r>
      <w:r w:rsidR="00AF0ED2" w:rsidRPr="00273D24">
        <w:rPr>
          <w:rFonts w:ascii="Times New Roman" w:hAnsi="Times New Roman" w:cs="Times New Roman"/>
          <w:sz w:val="24"/>
          <w:szCs w:val="24"/>
        </w:rPr>
        <w:t xml:space="preserve"> order to address the “myriad issues associated with the discovery and production of [ESI].”</w:t>
      </w:r>
      <w:r w:rsidR="00767BF9" w:rsidRPr="00273D24">
        <w:rPr>
          <w:rStyle w:val="FootnoteReference"/>
          <w:rFonts w:ascii="Times New Roman" w:hAnsi="Times New Roman" w:cs="Times New Roman"/>
          <w:sz w:val="24"/>
          <w:szCs w:val="24"/>
        </w:rPr>
        <w:footnoteReference w:id="10"/>
      </w:r>
      <w:r w:rsidR="003319DD" w:rsidRPr="00273D24">
        <w:rPr>
          <w:rFonts w:ascii="Times New Roman" w:hAnsi="Times New Roman" w:cs="Times New Roman"/>
          <w:sz w:val="24"/>
          <w:szCs w:val="24"/>
        </w:rPr>
        <w:t xml:space="preserve">  </w:t>
      </w:r>
      <w:r w:rsidR="00221A59" w:rsidRPr="00273D24">
        <w:rPr>
          <w:rFonts w:ascii="Times New Roman" w:hAnsi="Times New Roman" w:cs="Times New Roman"/>
          <w:sz w:val="24"/>
          <w:szCs w:val="24"/>
        </w:rPr>
        <w:t>W</w:t>
      </w:r>
      <w:r w:rsidR="00AB4D62" w:rsidRPr="00273D24">
        <w:rPr>
          <w:rFonts w:ascii="Times New Roman" w:hAnsi="Times New Roman" w:cs="Times New Roman"/>
          <w:sz w:val="24"/>
          <w:szCs w:val="24"/>
        </w:rPr>
        <w:t xml:space="preserve">hile the prior version of Rule 34 extended only to the production </w:t>
      </w:r>
      <w:r w:rsidR="006A4C4F" w:rsidRPr="00273D24">
        <w:rPr>
          <w:rFonts w:ascii="Times New Roman" w:hAnsi="Times New Roman" w:cs="Times New Roman"/>
          <w:sz w:val="24"/>
          <w:szCs w:val="24"/>
        </w:rPr>
        <w:t xml:space="preserve">and inspection </w:t>
      </w:r>
      <w:r w:rsidR="00AB4D62" w:rsidRPr="00273D24">
        <w:rPr>
          <w:rFonts w:ascii="Times New Roman" w:hAnsi="Times New Roman" w:cs="Times New Roman"/>
          <w:sz w:val="24"/>
          <w:szCs w:val="24"/>
        </w:rPr>
        <w:t xml:space="preserve">of </w:t>
      </w:r>
      <w:r w:rsidR="006A4C4F" w:rsidRPr="00273D24">
        <w:rPr>
          <w:rFonts w:ascii="Times New Roman" w:hAnsi="Times New Roman" w:cs="Times New Roman"/>
          <w:sz w:val="24"/>
          <w:szCs w:val="24"/>
        </w:rPr>
        <w:t>“</w:t>
      </w:r>
      <w:r w:rsidR="00AB4D62" w:rsidRPr="00273D24">
        <w:rPr>
          <w:rFonts w:ascii="Times New Roman" w:hAnsi="Times New Roman" w:cs="Times New Roman"/>
          <w:sz w:val="24"/>
          <w:szCs w:val="24"/>
        </w:rPr>
        <w:t>documen</w:t>
      </w:r>
      <w:r w:rsidR="00AB75F9" w:rsidRPr="00273D24">
        <w:rPr>
          <w:rFonts w:ascii="Times New Roman" w:hAnsi="Times New Roman" w:cs="Times New Roman"/>
          <w:sz w:val="24"/>
          <w:szCs w:val="24"/>
        </w:rPr>
        <w:t>ts</w:t>
      </w:r>
      <w:r w:rsidR="006A4C4F" w:rsidRPr="00273D24">
        <w:rPr>
          <w:rFonts w:ascii="Times New Roman" w:hAnsi="Times New Roman" w:cs="Times New Roman"/>
          <w:sz w:val="24"/>
          <w:szCs w:val="24"/>
        </w:rPr>
        <w:t xml:space="preserve">,” </w:t>
      </w:r>
      <w:r w:rsidR="00AB75F9" w:rsidRPr="00273D24">
        <w:rPr>
          <w:rFonts w:ascii="Times New Roman" w:hAnsi="Times New Roman" w:cs="Times New Roman"/>
          <w:sz w:val="24"/>
          <w:szCs w:val="24"/>
        </w:rPr>
        <w:t xml:space="preserve">it </w:t>
      </w:r>
      <w:r w:rsidR="006A4C4F" w:rsidRPr="00273D24">
        <w:rPr>
          <w:rFonts w:ascii="Times New Roman" w:hAnsi="Times New Roman" w:cs="Times New Roman"/>
          <w:sz w:val="24"/>
          <w:szCs w:val="24"/>
        </w:rPr>
        <w:t xml:space="preserve">is </w:t>
      </w:r>
      <w:r w:rsidR="00AB4D62" w:rsidRPr="00273D24">
        <w:rPr>
          <w:rFonts w:ascii="Times New Roman" w:hAnsi="Times New Roman" w:cs="Times New Roman"/>
          <w:sz w:val="24"/>
          <w:szCs w:val="24"/>
        </w:rPr>
        <w:t>clear that</w:t>
      </w:r>
      <w:r w:rsidR="00AB75F9" w:rsidRPr="00273D24">
        <w:rPr>
          <w:rFonts w:ascii="Times New Roman" w:hAnsi="Times New Roman" w:cs="Times New Roman"/>
          <w:sz w:val="24"/>
          <w:szCs w:val="24"/>
        </w:rPr>
        <w:t xml:space="preserve"> ESI is </w:t>
      </w:r>
      <w:r w:rsidR="006A4C4F" w:rsidRPr="00273D24">
        <w:rPr>
          <w:rFonts w:ascii="Times New Roman" w:hAnsi="Times New Roman" w:cs="Times New Roman"/>
          <w:sz w:val="24"/>
          <w:szCs w:val="24"/>
        </w:rPr>
        <w:t xml:space="preserve">now fully </w:t>
      </w:r>
      <w:r w:rsidR="00AB75F9" w:rsidRPr="00273D24">
        <w:rPr>
          <w:rFonts w:ascii="Times New Roman" w:hAnsi="Times New Roman" w:cs="Times New Roman"/>
          <w:sz w:val="24"/>
          <w:szCs w:val="24"/>
        </w:rPr>
        <w:t>encompassed by the Federal Rules of Civil Procedure</w:t>
      </w:r>
      <w:r w:rsidR="00AB4D62" w:rsidRPr="00273D24">
        <w:rPr>
          <w:rFonts w:ascii="Times New Roman" w:hAnsi="Times New Roman" w:cs="Times New Roman"/>
          <w:sz w:val="24"/>
          <w:szCs w:val="24"/>
        </w:rPr>
        <w:t>.</w:t>
      </w:r>
      <w:r w:rsidR="006A4C4F" w:rsidRPr="00273D24">
        <w:rPr>
          <w:rStyle w:val="FootnoteReference"/>
          <w:rFonts w:ascii="Times New Roman" w:hAnsi="Times New Roman" w:cs="Times New Roman"/>
          <w:sz w:val="24"/>
          <w:szCs w:val="24"/>
        </w:rPr>
        <w:t xml:space="preserve"> </w:t>
      </w:r>
      <w:r w:rsidR="006A4C4F" w:rsidRPr="00273D24">
        <w:rPr>
          <w:rStyle w:val="FootnoteReference"/>
          <w:rFonts w:ascii="Times New Roman" w:hAnsi="Times New Roman" w:cs="Times New Roman"/>
          <w:sz w:val="24"/>
          <w:szCs w:val="24"/>
        </w:rPr>
        <w:footnoteReference w:id="11"/>
      </w:r>
      <w:r w:rsidR="006B7645" w:rsidRPr="00273D24">
        <w:rPr>
          <w:rFonts w:ascii="Times New Roman" w:hAnsi="Times New Roman" w:cs="Times New Roman"/>
          <w:sz w:val="24"/>
          <w:szCs w:val="24"/>
        </w:rPr>
        <w:t xml:space="preserve"> </w:t>
      </w:r>
      <w:r w:rsidR="006A4C4F" w:rsidRPr="00273D24">
        <w:rPr>
          <w:rFonts w:ascii="Times New Roman" w:hAnsi="Times New Roman" w:cs="Times New Roman"/>
          <w:sz w:val="24"/>
          <w:szCs w:val="24"/>
        </w:rPr>
        <w:t xml:space="preserve"> </w:t>
      </w:r>
      <w:r w:rsidR="00BC55DC" w:rsidRPr="00273D24">
        <w:rPr>
          <w:rFonts w:ascii="Times New Roman" w:hAnsi="Times New Roman" w:cs="Times New Roman"/>
          <w:sz w:val="24"/>
          <w:szCs w:val="24"/>
        </w:rPr>
        <w:t xml:space="preserve">Like </w:t>
      </w:r>
      <w:r w:rsidR="00BC55DC" w:rsidRPr="00273D24">
        <w:rPr>
          <w:rFonts w:ascii="Times New Roman" w:hAnsi="Times New Roman" w:cs="Times New Roman"/>
          <w:sz w:val="24"/>
          <w:szCs w:val="24"/>
          <w:u w:val="single"/>
        </w:rPr>
        <w:t>Zubulake</w:t>
      </w:r>
      <w:r w:rsidR="00BC55DC" w:rsidRPr="00273D24">
        <w:rPr>
          <w:rFonts w:ascii="Times New Roman" w:hAnsi="Times New Roman" w:cs="Times New Roman"/>
          <w:sz w:val="24"/>
          <w:szCs w:val="24"/>
        </w:rPr>
        <w:t xml:space="preserve">, </w:t>
      </w:r>
      <w:r w:rsidR="006A4C4F" w:rsidRPr="00273D24">
        <w:rPr>
          <w:rFonts w:ascii="Times New Roman" w:hAnsi="Times New Roman" w:cs="Times New Roman"/>
          <w:sz w:val="24"/>
          <w:szCs w:val="24"/>
        </w:rPr>
        <w:t xml:space="preserve">the Federal Rules divide </w:t>
      </w:r>
      <w:r w:rsidR="006B7645" w:rsidRPr="00273D24">
        <w:rPr>
          <w:rFonts w:ascii="Times New Roman" w:hAnsi="Times New Roman" w:cs="Times New Roman"/>
          <w:sz w:val="24"/>
          <w:szCs w:val="24"/>
        </w:rPr>
        <w:t xml:space="preserve">ESI into two classes based upon </w:t>
      </w:r>
      <w:r w:rsidR="006A4C4F" w:rsidRPr="00273D24">
        <w:rPr>
          <w:rFonts w:ascii="Times New Roman" w:hAnsi="Times New Roman" w:cs="Times New Roman"/>
          <w:sz w:val="24"/>
          <w:szCs w:val="24"/>
        </w:rPr>
        <w:t xml:space="preserve">the </w:t>
      </w:r>
      <w:r w:rsidR="006B7645" w:rsidRPr="00273D24">
        <w:rPr>
          <w:rFonts w:ascii="Times New Roman" w:hAnsi="Times New Roman" w:cs="Times New Roman"/>
          <w:sz w:val="24"/>
          <w:szCs w:val="24"/>
        </w:rPr>
        <w:t>ease of access and burden to produce.</w:t>
      </w:r>
      <w:r w:rsidR="006B7645" w:rsidRPr="00273D24">
        <w:rPr>
          <w:rStyle w:val="FootnoteReference"/>
          <w:rFonts w:ascii="Times New Roman" w:hAnsi="Times New Roman" w:cs="Times New Roman"/>
          <w:sz w:val="24"/>
          <w:szCs w:val="24"/>
        </w:rPr>
        <w:footnoteReference w:id="12"/>
      </w:r>
      <w:r w:rsidR="00FB2E85" w:rsidRPr="00273D24">
        <w:rPr>
          <w:rFonts w:ascii="Times New Roman" w:hAnsi="Times New Roman" w:cs="Times New Roman"/>
          <w:sz w:val="24"/>
          <w:szCs w:val="24"/>
        </w:rPr>
        <w:t xml:space="preserve">  “</w:t>
      </w:r>
      <w:r w:rsidR="009705D6" w:rsidRPr="00273D24">
        <w:rPr>
          <w:rFonts w:ascii="Times New Roman" w:hAnsi="Times New Roman" w:cs="Times New Roman"/>
          <w:sz w:val="24"/>
          <w:szCs w:val="24"/>
        </w:rPr>
        <w:t>R</w:t>
      </w:r>
      <w:r w:rsidR="00FB2E85" w:rsidRPr="00273D24">
        <w:rPr>
          <w:rFonts w:ascii="Times New Roman" w:hAnsi="Times New Roman" w:cs="Times New Roman"/>
          <w:sz w:val="24"/>
          <w:szCs w:val="24"/>
        </w:rPr>
        <w:t>easonably accessible” ESI should be produced so long as it is relevant and n</w:t>
      </w:r>
      <w:r w:rsidR="00091B1C" w:rsidRPr="00273D24">
        <w:rPr>
          <w:rFonts w:ascii="Times New Roman" w:hAnsi="Times New Roman" w:cs="Times New Roman"/>
          <w:sz w:val="24"/>
          <w:szCs w:val="24"/>
        </w:rPr>
        <w:t>ot privileged.</w:t>
      </w:r>
      <w:r w:rsidR="00091B1C" w:rsidRPr="00273D24">
        <w:rPr>
          <w:rStyle w:val="FootnoteReference"/>
          <w:rFonts w:ascii="Times New Roman" w:hAnsi="Times New Roman" w:cs="Times New Roman"/>
          <w:sz w:val="24"/>
          <w:szCs w:val="24"/>
        </w:rPr>
        <w:footnoteReference w:id="13"/>
      </w:r>
      <w:r w:rsidR="007600D8" w:rsidRPr="00273D24">
        <w:rPr>
          <w:rFonts w:ascii="Times New Roman" w:hAnsi="Times New Roman" w:cs="Times New Roman"/>
          <w:sz w:val="24"/>
          <w:szCs w:val="24"/>
        </w:rPr>
        <w:t xml:space="preserve">  </w:t>
      </w:r>
      <w:r w:rsidR="009705D6" w:rsidRPr="00273D24">
        <w:rPr>
          <w:rFonts w:ascii="Times New Roman" w:hAnsi="Times New Roman" w:cs="Times New Roman"/>
          <w:sz w:val="24"/>
          <w:szCs w:val="24"/>
        </w:rPr>
        <w:t xml:space="preserve">That which is </w:t>
      </w:r>
      <w:r w:rsidR="006E3150" w:rsidRPr="00273D24">
        <w:rPr>
          <w:rFonts w:ascii="Times New Roman" w:hAnsi="Times New Roman" w:cs="Times New Roman"/>
          <w:sz w:val="24"/>
          <w:szCs w:val="24"/>
        </w:rPr>
        <w:t>“not reasonably accessible because of undue burden or cost”</w:t>
      </w:r>
      <w:r w:rsidR="0017522F" w:rsidRPr="00273D24">
        <w:rPr>
          <w:rFonts w:ascii="Times New Roman" w:hAnsi="Times New Roman" w:cs="Times New Roman"/>
          <w:sz w:val="24"/>
          <w:szCs w:val="24"/>
        </w:rPr>
        <w:t xml:space="preserve"> </w:t>
      </w:r>
      <w:r w:rsidR="007A06F0" w:rsidRPr="00273D24">
        <w:rPr>
          <w:rFonts w:ascii="Times New Roman" w:hAnsi="Times New Roman" w:cs="Times New Roman"/>
          <w:sz w:val="24"/>
          <w:szCs w:val="24"/>
        </w:rPr>
        <w:t xml:space="preserve">is </w:t>
      </w:r>
      <w:r w:rsidR="002541F6" w:rsidRPr="00273D24">
        <w:rPr>
          <w:rFonts w:ascii="Times New Roman" w:hAnsi="Times New Roman" w:cs="Times New Roman"/>
          <w:sz w:val="24"/>
          <w:szCs w:val="24"/>
        </w:rPr>
        <w:t>not typically produced</w:t>
      </w:r>
      <w:r w:rsidR="009705D6" w:rsidRPr="00273D24">
        <w:rPr>
          <w:rFonts w:ascii="Times New Roman" w:hAnsi="Times New Roman" w:cs="Times New Roman"/>
          <w:sz w:val="24"/>
          <w:szCs w:val="24"/>
        </w:rPr>
        <w:t>.</w:t>
      </w:r>
      <w:r w:rsidR="009705D6" w:rsidRPr="00273D24">
        <w:rPr>
          <w:rStyle w:val="FootnoteReference"/>
          <w:rFonts w:ascii="Times New Roman" w:hAnsi="Times New Roman" w:cs="Times New Roman"/>
          <w:sz w:val="24"/>
          <w:szCs w:val="24"/>
        </w:rPr>
        <w:footnoteReference w:id="14"/>
      </w:r>
      <w:r w:rsidR="009705D6" w:rsidRPr="00273D24">
        <w:rPr>
          <w:rFonts w:ascii="Times New Roman" w:hAnsi="Times New Roman" w:cs="Times New Roman"/>
          <w:sz w:val="24"/>
          <w:szCs w:val="24"/>
        </w:rPr>
        <w:t xml:space="preserve">  However, </w:t>
      </w:r>
      <w:r w:rsidR="00436B52" w:rsidRPr="00273D24">
        <w:rPr>
          <w:rFonts w:ascii="Times New Roman" w:hAnsi="Times New Roman" w:cs="Times New Roman"/>
          <w:sz w:val="24"/>
          <w:szCs w:val="24"/>
        </w:rPr>
        <w:t xml:space="preserve">counsel must still “identify, by category </w:t>
      </w:r>
      <w:r w:rsidR="00A50509" w:rsidRPr="00273D24">
        <w:rPr>
          <w:rFonts w:ascii="Times New Roman" w:hAnsi="Times New Roman" w:cs="Times New Roman"/>
          <w:sz w:val="24"/>
          <w:szCs w:val="24"/>
        </w:rPr>
        <w:t xml:space="preserve">or type, the sources” containing such ESI with “enough detail to </w:t>
      </w:r>
      <w:r w:rsidR="00A50509" w:rsidRPr="00273D24">
        <w:rPr>
          <w:rFonts w:ascii="Times New Roman" w:hAnsi="Times New Roman" w:cs="Times New Roman"/>
          <w:sz w:val="24"/>
          <w:szCs w:val="24"/>
        </w:rPr>
        <w:lastRenderedPageBreak/>
        <w:t>enable the requesting party to evaluate the burden and costs of providing the discovery and the likelihood of finding responsive information on the identified sources.”</w:t>
      </w:r>
      <w:r w:rsidR="00A50509" w:rsidRPr="00273D24">
        <w:rPr>
          <w:rStyle w:val="FootnoteReference"/>
          <w:rFonts w:ascii="Times New Roman" w:hAnsi="Times New Roman" w:cs="Times New Roman"/>
          <w:sz w:val="24"/>
          <w:szCs w:val="24"/>
        </w:rPr>
        <w:footnoteReference w:id="15"/>
      </w:r>
      <w:r w:rsidR="00A50509" w:rsidRPr="00273D24">
        <w:rPr>
          <w:rFonts w:ascii="Times New Roman" w:hAnsi="Times New Roman" w:cs="Times New Roman"/>
          <w:sz w:val="24"/>
          <w:szCs w:val="24"/>
        </w:rPr>
        <w:t xml:space="preserve">  The producing party also bears the usual “statutory and common-law duties</w:t>
      </w:r>
      <w:r w:rsidR="00F77E8F" w:rsidRPr="00273D24">
        <w:rPr>
          <w:rFonts w:ascii="Times New Roman" w:hAnsi="Times New Roman" w:cs="Times New Roman"/>
          <w:sz w:val="24"/>
          <w:szCs w:val="24"/>
        </w:rPr>
        <w:t>”</w:t>
      </w:r>
      <w:r w:rsidR="00A50509" w:rsidRPr="00273D24">
        <w:rPr>
          <w:rFonts w:ascii="Times New Roman" w:hAnsi="Times New Roman" w:cs="Times New Roman"/>
          <w:sz w:val="24"/>
          <w:szCs w:val="24"/>
        </w:rPr>
        <w:t xml:space="preserve"> to preserve </w:t>
      </w:r>
      <w:r w:rsidR="00F77E8F" w:rsidRPr="00273D24">
        <w:rPr>
          <w:rFonts w:ascii="Times New Roman" w:hAnsi="Times New Roman" w:cs="Times New Roman"/>
          <w:sz w:val="24"/>
          <w:szCs w:val="24"/>
        </w:rPr>
        <w:t>it.</w:t>
      </w:r>
      <w:r w:rsidR="00A50509" w:rsidRPr="00273D24">
        <w:rPr>
          <w:rStyle w:val="FootnoteReference"/>
          <w:rFonts w:ascii="Times New Roman" w:hAnsi="Times New Roman" w:cs="Times New Roman"/>
          <w:sz w:val="24"/>
          <w:szCs w:val="24"/>
        </w:rPr>
        <w:footnoteReference w:id="16"/>
      </w:r>
      <w:r w:rsidR="002D3986" w:rsidRPr="00273D24">
        <w:rPr>
          <w:rFonts w:ascii="Times New Roman" w:hAnsi="Times New Roman" w:cs="Times New Roman"/>
          <w:sz w:val="24"/>
          <w:szCs w:val="24"/>
        </w:rPr>
        <w:t xml:space="preserve">  </w:t>
      </w:r>
      <w:r w:rsidR="00F77E8F" w:rsidRPr="00273D24">
        <w:rPr>
          <w:rFonts w:ascii="Times New Roman" w:hAnsi="Times New Roman" w:cs="Times New Roman"/>
          <w:sz w:val="24"/>
          <w:szCs w:val="24"/>
        </w:rPr>
        <w:t>More</w:t>
      </w:r>
      <w:r w:rsidR="00D706B2" w:rsidRPr="00273D24">
        <w:rPr>
          <w:rFonts w:ascii="Times New Roman" w:hAnsi="Times New Roman" w:cs="Times New Roman"/>
          <w:sz w:val="24"/>
          <w:szCs w:val="24"/>
        </w:rPr>
        <w:t>o</w:t>
      </w:r>
      <w:r w:rsidR="00F77E8F" w:rsidRPr="00273D24">
        <w:rPr>
          <w:rFonts w:ascii="Times New Roman" w:hAnsi="Times New Roman" w:cs="Times New Roman"/>
          <w:sz w:val="24"/>
          <w:szCs w:val="24"/>
        </w:rPr>
        <w:t>ver, the court may order that this material be produced upon a showing of good cause.</w:t>
      </w:r>
      <w:r w:rsidR="002D3986" w:rsidRPr="00273D24">
        <w:rPr>
          <w:rStyle w:val="FootnoteReference"/>
          <w:rFonts w:ascii="Times New Roman" w:hAnsi="Times New Roman" w:cs="Times New Roman"/>
          <w:sz w:val="24"/>
          <w:szCs w:val="24"/>
        </w:rPr>
        <w:footnoteReference w:id="17"/>
      </w:r>
      <w:r w:rsidR="002541F6" w:rsidRPr="00273D24">
        <w:rPr>
          <w:rFonts w:ascii="Times New Roman" w:hAnsi="Times New Roman" w:cs="Times New Roman"/>
          <w:sz w:val="24"/>
          <w:szCs w:val="24"/>
        </w:rPr>
        <w:t xml:space="preserve">  </w:t>
      </w:r>
      <w:r w:rsidR="00C24099" w:rsidRPr="00273D24">
        <w:rPr>
          <w:rFonts w:ascii="Times New Roman" w:hAnsi="Times New Roman" w:cs="Times New Roman"/>
          <w:sz w:val="24"/>
          <w:szCs w:val="24"/>
        </w:rPr>
        <w:t xml:space="preserve">With these amendments now firmly implanted a decade after their enactment, it is imperative that the prudent practitioner become familiar with the preparation, coordination, and submission of ESI. </w:t>
      </w:r>
    </w:p>
    <w:p w14:paraId="0AA2FDC4" w14:textId="77777777" w:rsidR="007F4CB5" w:rsidRPr="00273D24" w:rsidRDefault="007F4CB5" w:rsidP="008F1393">
      <w:pPr>
        <w:pStyle w:val="ListParagraph"/>
        <w:numPr>
          <w:ilvl w:val="0"/>
          <w:numId w:val="3"/>
        </w:numPr>
        <w:jc w:val="both"/>
        <w:rPr>
          <w:rFonts w:ascii="Times New Roman" w:hAnsi="Times New Roman" w:cs="Times New Roman"/>
          <w:b/>
          <w:sz w:val="24"/>
          <w:szCs w:val="24"/>
          <w:u w:val="single"/>
        </w:rPr>
      </w:pPr>
      <w:r w:rsidRPr="00273D24">
        <w:rPr>
          <w:rFonts w:ascii="Times New Roman" w:hAnsi="Times New Roman" w:cs="Times New Roman"/>
          <w:b/>
          <w:sz w:val="24"/>
          <w:szCs w:val="24"/>
          <w:u w:val="single"/>
        </w:rPr>
        <w:t>DUTY TO PRODUCE AND PRESERVE</w:t>
      </w:r>
      <w:r w:rsidR="006E4DF1" w:rsidRPr="00273D24">
        <w:rPr>
          <w:rFonts w:ascii="Times New Roman" w:hAnsi="Times New Roman" w:cs="Times New Roman"/>
          <w:b/>
          <w:sz w:val="24"/>
          <w:szCs w:val="24"/>
          <w:u w:val="single"/>
        </w:rPr>
        <w:t xml:space="preserve"> ESI</w:t>
      </w:r>
    </w:p>
    <w:p w14:paraId="29EDEE6B" w14:textId="079E260A" w:rsidR="00993F69" w:rsidRPr="00273D24" w:rsidRDefault="00C774C4" w:rsidP="00013AE8">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 xml:space="preserve">Not surprisingly, the massive volume of potentially discoverable electronically stored information lends great importance to both the duty to produce discoverable information and, relatedly, the duty to preserve such information prior to </w:t>
      </w:r>
      <w:r w:rsidR="009B1A7F" w:rsidRPr="00273D24">
        <w:rPr>
          <w:rFonts w:ascii="Times New Roman" w:hAnsi="Times New Roman" w:cs="Times New Roman"/>
          <w:sz w:val="24"/>
          <w:szCs w:val="24"/>
        </w:rPr>
        <w:t>its actual production.</w:t>
      </w:r>
      <w:r w:rsidR="00C73BF6" w:rsidRPr="00273D24">
        <w:rPr>
          <w:rFonts w:ascii="Times New Roman" w:hAnsi="Times New Roman" w:cs="Times New Roman"/>
          <w:sz w:val="24"/>
          <w:szCs w:val="24"/>
        </w:rPr>
        <w:t xml:space="preserve">  </w:t>
      </w:r>
      <w:r w:rsidR="009B1A7F" w:rsidRPr="00273D24">
        <w:rPr>
          <w:rFonts w:ascii="Times New Roman" w:hAnsi="Times New Roman" w:cs="Times New Roman"/>
          <w:sz w:val="24"/>
          <w:szCs w:val="24"/>
        </w:rPr>
        <w:t>The duty to produce documents or other evidence results in response to valid discovery requests from opposing counsel.</w:t>
      </w:r>
      <w:r w:rsidR="009B1A7F" w:rsidRPr="00273D24">
        <w:rPr>
          <w:rStyle w:val="FootnoteReference"/>
          <w:rFonts w:ascii="Times New Roman" w:hAnsi="Times New Roman" w:cs="Times New Roman"/>
          <w:sz w:val="24"/>
          <w:szCs w:val="24"/>
        </w:rPr>
        <w:footnoteReference w:id="18"/>
      </w:r>
      <w:r w:rsidR="00F90F07" w:rsidRPr="00273D24">
        <w:rPr>
          <w:rFonts w:ascii="Times New Roman" w:hAnsi="Times New Roman" w:cs="Times New Roman"/>
          <w:sz w:val="24"/>
          <w:szCs w:val="24"/>
        </w:rPr>
        <w:t xml:space="preserve">  </w:t>
      </w:r>
      <w:r w:rsidR="00916289" w:rsidRPr="00273D24">
        <w:rPr>
          <w:rFonts w:ascii="Times New Roman" w:hAnsi="Times New Roman" w:cs="Times New Roman"/>
          <w:sz w:val="24"/>
          <w:szCs w:val="24"/>
        </w:rPr>
        <w:t>In the context of electronically stored information</w:t>
      </w:r>
      <w:r w:rsidR="00F90F07" w:rsidRPr="00273D24">
        <w:rPr>
          <w:rFonts w:ascii="Times New Roman" w:hAnsi="Times New Roman" w:cs="Times New Roman"/>
          <w:sz w:val="24"/>
          <w:szCs w:val="24"/>
        </w:rPr>
        <w:t xml:space="preserve">, Federal Rule of Civil Procedure 34 </w:t>
      </w:r>
      <w:r w:rsidR="00916289" w:rsidRPr="00273D24">
        <w:rPr>
          <w:rFonts w:ascii="Times New Roman" w:hAnsi="Times New Roman" w:cs="Times New Roman"/>
          <w:sz w:val="24"/>
          <w:szCs w:val="24"/>
        </w:rPr>
        <w:t xml:space="preserve">specifically </w:t>
      </w:r>
      <w:r w:rsidR="00F90F07" w:rsidRPr="00273D24">
        <w:rPr>
          <w:rFonts w:ascii="Times New Roman" w:hAnsi="Times New Roman" w:cs="Times New Roman"/>
          <w:sz w:val="24"/>
          <w:szCs w:val="24"/>
        </w:rPr>
        <w:t>grants a party the power to i</w:t>
      </w:r>
      <w:r w:rsidR="00916289" w:rsidRPr="00273D24">
        <w:rPr>
          <w:rFonts w:ascii="Times New Roman" w:hAnsi="Times New Roman" w:cs="Times New Roman"/>
          <w:sz w:val="24"/>
          <w:szCs w:val="24"/>
        </w:rPr>
        <w:t xml:space="preserve">nspect, copy, test, or sample “any designated documents or electronically stored information—including writings, drawings, graphs, charts, photographs, sound recordings, imagines, and other data or data compilations—stored in any medium from which information can be obtained either </w:t>
      </w:r>
      <w:r w:rsidR="00F9244F" w:rsidRPr="00273D24">
        <w:rPr>
          <w:rFonts w:ascii="Times New Roman" w:hAnsi="Times New Roman" w:cs="Times New Roman"/>
          <w:sz w:val="24"/>
          <w:szCs w:val="24"/>
        </w:rPr>
        <w:t>directly . . . or after translation</w:t>
      </w:r>
      <w:r w:rsidR="00F90F07" w:rsidRPr="00273D24">
        <w:rPr>
          <w:rFonts w:ascii="Times New Roman" w:hAnsi="Times New Roman" w:cs="Times New Roman"/>
          <w:sz w:val="24"/>
          <w:szCs w:val="24"/>
        </w:rPr>
        <w:t>.</w:t>
      </w:r>
      <w:r w:rsidR="00F90F07" w:rsidRPr="00273D24">
        <w:rPr>
          <w:rStyle w:val="FootnoteReference"/>
          <w:rFonts w:ascii="Times New Roman" w:hAnsi="Times New Roman" w:cs="Times New Roman"/>
          <w:sz w:val="24"/>
          <w:szCs w:val="24"/>
        </w:rPr>
        <w:footnoteReference w:id="19"/>
      </w:r>
      <w:r w:rsidR="00F90F07" w:rsidRPr="00273D24">
        <w:rPr>
          <w:rFonts w:ascii="Times New Roman" w:hAnsi="Times New Roman" w:cs="Times New Roman"/>
          <w:sz w:val="24"/>
          <w:szCs w:val="24"/>
        </w:rPr>
        <w:t xml:space="preserve">  However, this power is not absolute</w:t>
      </w:r>
      <w:r w:rsidR="00CB6A0D" w:rsidRPr="00273D24">
        <w:rPr>
          <w:rFonts w:ascii="Times New Roman" w:hAnsi="Times New Roman" w:cs="Times New Roman"/>
          <w:sz w:val="24"/>
          <w:szCs w:val="24"/>
        </w:rPr>
        <w:t xml:space="preserve">; it </w:t>
      </w:r>
      <w:r w:rsidR="00F90F07" w:rsidRPr="00273D24">
        <w:rPr>
          <w:rFonts w:ascii="Times New Roman" w:hAnsi="Times New Roman" w:cs="Times New Roman"/>
          <w:sz w:val="24"/>
          <w:szCs w:val="24"/>
        </w:rPr>
        <w:t>is limited by the “proportionality” requirement of Federal Rule of Civil Procedure 26(b)(2)(</w:t>
      </w:r>
      <w:r w:rsidR="009E50FC" w:rsidRPr="00273D24">
        <w:rPr>
          <w:rFonts w:ascii="Times New Roman" w:hAnsi="Times New Roman" w:cs="Times New Roman"/>
          <w:sz w:val="24"/>
          <w:szCs w:val="24"/>
        </w:rPr>
        <w:t>B</w:t>
      </w:r>
      <w:r w:rsidR="00F90F07" w:rsidRPr="00273D24">
        <w:rPr>
          <w:rFonts w:ascii="Times New Roman" w:hAnsi="Times New Roman" w:cs="Times New Roman"/>
          <w:sz w:val="24"/>
          <w:szCs w:val="24"/>
        </w:rPr>
        <w:t>).</w:t>
      </w:r>
      <w:r w:rsidR="00F90F07" w:rsidRPr="00273D24">
        <w:rPr>
          <w:rStyle w:val="FootnoteReference"/>
          <w:rFonts w:ascii="Times New Roman" w:hAnsi="Times New Roman" w:cs="Times New Roman"/>
          <w:sz w:val="24"/>
          <w:szCs w:val="24"/>
        </w:rPr>
        <w:footnoteReference w:id="20"/>
      </w:r>
      <w:r w:rsidR="00F9244F" w:rsidRPr="00273D24">
        <w:rPr>
          <w:rFonts w:ascii="Times New Roman" w:hAnsi="Times New Roman" w:cs="Times New Roman"/>
          <w:sz w:val="24"/>
          <w:szCs w:val="24"/>
        </w:rPr>
        <w:t xml:space="preserve">  Such limitation</w:t>
      </w:r>
      <w:r w:rsidR="00B8048B" w:rsidRPr="00273D24">
        <w:rPr>
          <w:rFonts w:ascii="Times New Roman" w:hAnsi="Times New Roman" w:cs="Times New Roman"/>
          <w:sz w:val="24"/>
          <w:szCs w:val="24"/>
        </w:rPr>
        <w:t xml:space="preserve"> states that a </w:t>
      </w:r>
      <w:r w:rsidR="004249CE" w:rsidRPr="00273D24">
        <w:rPr>
          <w:rFonts w:ascii="Times New Roman" w:hAnsi="Times New Roman" w:cs="Times New Roman"/>
          <w:sz w:val="24"/>
          <w:szCs w:val="24"/>
        </w:rPr>
        <w:t>“</w:t>
      </w:r>
      <w:r w:rsidR="008C4C40" w:rsidRPr="00273D24">
        <w:rPr>
          <w:rFonts w:ascii="Times New Roman" w:hAnsi="Times New Roman" w:cs="Times New Roman"/>
          <w:sz w:val="24"/>
          <w:szCs w:val="24"/>
        </w:rPr>
        <w:t xml:space="preserve">party need not provide discovery of electronically stored information from sources that the </w:t>
      </w:r>
      <w:r w:rsidR="008C4C40" w:rsidRPr="00273D24">
        <w:rPr>
          <w:rFonts w:ascii="Times New Roman" w:hAnsi="Times New Roman" w:cs="Times New Roman"/>
          <w:sz w:val="24"/>
          <w:szCs w:val="24"/>
        </w:rPr>
        <w:lastRenderedPageBreak/>
        <w:t>party identifies as not reasonably accessible because of undue burden or cost.”</w:t>
      </w:r>
      <w:r w:rsidR="008C4C40" w:rsidRPr="00273D24">
        <w:rPr>
          <w:rStyle w:val="FootnoteReference"/>
          <w:rFonts w:ascii="Times New Roman" w:hAnsi="Times New Roman" w:cs="Times New Roman"/>
          <w:sz w:val="24"/>
          <w:szCs w:val="24"/>
        </w:rPr>
        <w:footnoteReference w:id="21"/>
      </w:r>
      <w:r w:rsidR="00BB6382" w:rsidRPr="00273D24">
        <w:rPr>
          <w:rFonts w:ascii="Times New Roman" w:hAnsi="Times New Roman" w:cs="Times New Roman"/>
          <w:sz w:val="24"/>
          <w:szCs w:val="24"/>
        </w:rPr>
        <w:t xml:space="preserve">  This protection is not absolute</w:t>
      </w:r>
      <w:r w:rsidR="00CB6A0D" w:rsidRPr="00273D24">
        <w:rPr>
          <w:rFonts w:ascii="Times New Roman" w:hAnsi="Times New Roman" w:cs="Times New Roman"/>
          <w:sz w:val="24"/>
          <w:szCs w:val="24"/>
        </w:rPr>
        <w:t>,</w:t>
      </w:r>
      <w:r w:rsidR="00BB6382" w:rsidRPr="00273D24">
        <w:rPr>
          <w:rFonts w:ascii="Times New Roman" w:hAnsi="Times New Roman" w:cs="Times New Roman"/>
          <w:sz w:val="24"/>
          <w:szCs w:val="24"/>
        </w:rPr>
        <w:t xml:space="preserve"> as the requesting party may seek to compel disclosure of such electronically stored information and, upon a showing of good cause, a court may nonetheless order its production.</w:t>
      </w:r>
      <w:r w:rsidR="00BB6382" w:rsidRPr="00273D24">
        <w:rPr>
          <w:rStyle w:val="FootnoteReference"/>
          <w:rFonts w:ascii="Times New Roman" w:hAnsi="Times New Roman" w:cs="Times New Roman"/>
          <w:sz w:val="24"/>
          <w:szCs w:val="24"/>
        </w:rPr>
        <w:footnoteReference w:id="22"/>
      </w:r>
      <w:r w:rsidR="00BB6382" w:rsidRPr="00273D24">
        <w:rPr>
          <w:rFonts w:ascii="Times New Roman" w:hAnsi="Times New Roman" w:cs="Times New Roman"/>
          <w:sz w:val="24"/>
          <w:szCs w:val="24"/>
        </w:rPr>
        <w:t xml:space="preserve">  </w:t>
      </w:r>
      <w:r w:rsidR="00CB6A0D" w:rsidRPr="00273D24">
        <w:rPr>
          <w:rFonts w:ascii="Times New Roman" w:hAnsi="Times New Roman" w:cs="Times New Roman"/>
          <w:sz w:val="24"/>
          <w:szCs w:val="24"/>
        </w:rPr>
        <w:t>Of course</w:t>
      </w:r>
      <w:r w:rsidR="00BB6382" w:rsidRPr="00273D24">
        <w:rPr>
          <w:rFonts w:ascii="Times New Roman" w:hAnsi="Times New Roman" w:cs="Times New Roman"/>
          <w:sz w:val="24"/>
          <w:szCs w:val="24"/>
        </w:rPr>
        <w:t xml:space="preserve">, a </w:t>
      </w:r>
      <w:r w:rsidR="005321CB" w:rsidRPr="00273D24">
        <w:rPr>
          <w:rFonts w:ascii="Times New Roman" w:hAnsi="Times New Roman" w:cs="Times New Roman"/>
          <w:sz w:val="24"/>
          <w:szCs w:val="24"/>
        </w:rPr>
        <w:t xml:space="preserve">court may limit or otherwise condition </w:t>
      </w:r>
      <w:r w:rsidR="00C37FFE" w:rsidRPr="00273D24">
        <w:rPr>
          <w:rFonts w:ascii="Times New Roman" w:hAnsi="Times New Roman" w:cs="Times New Roman"/>
          <w:sz w:val="24"/>
          <w:szCs w:val="24"/>
        </w:rPr>
        <w:t xml:space="preserve">the </w:t>
      </w:r>
      <w:r w:rsidR="005321CB" w:rsidRPr="00273D24">
        <w:rPr>
          <w:rFonts w:ascii="Times New Roman" w:hAnsi="Times New Roman" w:cs="Times New Roman"/>
          <w:sz w:val="24"/>
          <w:szCs w:val="24"/>
        </w:rPr>
        <w:t>production of electronically stored information</w:t>
      </w:r>
      <w:r w:rsidR="00C37FFE" w:rsidRPr="00273D24">
        <w:rPr>
          <w:rFonts w:ascii="Times New Roman" w:hAnsi="Times New Roman" w:cs="Times New Roman"/>
          <w:sz w:val="24"/>
          <w:szCs w:val="24"/>
        </w:rPr>
        <w:t>,</w:t>
      </w:r>
      <w:r w:rsidR="005321CB" w:rsidRPr="00273D24">
        <w:rPr>
          <w:rStyle w:val="FootnoteReference"/>
          <w:rFonts w:ascii="Times New Roman" w:hAnsi="Times New Roman" w:cs="Times New Roman"/>
          <w:sz w:val="24"/>
          <w:szCs w:val="24"/>
        </w:rPr>
        <w:footnoteReference w:id="23"/>
      </w:r>
      <w:r w:rsidR="00C37FFE" w:rsidRPr="00273D24">
        <w:rPr>
          <w:rFonts w:ascii="Times New Roman" w:hAnsi="Times New Roman" w:cs="Times New Roman"/>
          <w:sz w:val="24"/>
          <w:szCs w:val="24"/>
        </w:rPr>
        <w:t xml:space="preserve"> but a</w:t>
      </w:r>
      <w:r w:rsidR="00FC7DC3" w:rsidRPr="00273D24">
        <w:rPr>
          <w:rFonts w:ascii="Times New Roman" w:hAnsi="Times New Roman" w:cs="Times New Roman"/>
          <w:sz w:val="24"/>
          <w:szCs w:val="24"/>
        </w:rPr>
        <w:t>t least one court has held</w:t>
      </w:r>
      <w:r w:rsidR="00C37FFE" w:rsidRPr="00273D24">
        <w:rPr>
          <w:rFonts w:ascii="Times New Roman" w:hAnsi="Times New Roman" w:cs="Times New Roman"/>
          <w:sz w:val="24"/>
          <w:szCs w:val="24"/>
        </w:rPr>
        <w:t xml:space="preserve"> </w:t>
      </w:r>
      <w:r w:rsidR="00FC7DC3" w:rsidRPr="00273D24">
        <w:rPr>
          <w:rFonts w:ascii="Times New Roman" w:hAnsi="Times New Roman" w:cs="Times New Roman"/>
          <w:sz w:val="24"/>
          <w:szCs w:val="24"/>
        </w:rPr>
        <w:t>that courts should apply these limitations in a narrow manner.</w:t>
      </w:r>
      <w:r w:rsidR="00FC7DC3" w:rsidRPr="00273D24">
        <w:rPr>
          <w:rStyle w:val="FootnoteReference"/>
          <w:rFonts w:ascii="Times New Roman" w:hAnsi="Times New Roman" w:cs="Times New Roman"/>
          <w:sz w:val="24"/>
          <w:szCs w:val="24"/>
        </w:rPr>
        <w:footnoteReference w:id="24"/>
      </w:r>
    </w:p>
    <w:p w14:paraId="6B4B0F22" w14:textId="0F547399" w:rsidR="007055BF" w:rsidRPr="00273D24" w:rsidRDefault="00993F69" w:rsidP="00013AE8">
      <w:pPr>
        <w:spacing w:after="0" w:line="480" w:lineRule="auto"/>
        <w:jc w:val="both"/>
        <w:rPr>
          <w:rFonts w:ascii="Times New Roman" w:hAnsi="Times New Roman" w:cs="Times New Roman"/>
          <w:sz w:val="24"/>
          <w:szCs w:val="24"/>
        </w:rPr>
      </w:pPr>
      <w:r w:rsidRPr="00273D24">
        <w:rPr>
          <w:rFonts w:ascii="Times New Roman" w:hAnsi="Times New Roman" w:cs="Times New Roman"/>
          <w:sz w:val="24"/>
          <w:szCs w:val="24"/>
        </w:rPr>
        <w:tab/>
      </w:r>
      <w:r w:rsidR="007055BF" w:rsidRPr="00273D24">
        <w:rPr>
          <w:rFonts w:ascii="Times New Roman" w:hAnsi="Times New Roman" w:cs="Times New Roman"/>
          <w:sz w:val="24"/>
          <w:szCs w:val="24"/>
        </w:rPr>
        <w:t>The duty to produce ESI is further cabined by the proportionality considerations of the 2015 amendments to Federal Rule of Civil Procedure 26(b)(1). While a party may obtain discovery of any nonprivileged, relevant matter</w:t>
      </w:r>
      <w:r w:rsidR="00D1761D" w:rsidRPr="00273D24">
        <w:rPr>
          <w:rFonts w:ascii="Times New Roman" w:hAnsi="Times New Roman" w:cs="Times New Roman"/>
          <w:sz w:val="24"/>
          <w:szCs w:val="24"/>
        </w:rPr>
        <w:t>, that discovery must be “proportional to the needs of the case, considering the importance of the issues at stake in the action, the amount in controversy, the parties’ relative access to relevant information, the parties’ resources, the importance of the discovery in resolving the issues, and whether the burden or expense of the proposed discovery outweighs its likely benefit.”</w:t>
      </w:r>
      <w:r w:rsidR="00D1761D" w:rsidRPr="00273D24">
        <w:rPr>
          <w:rStyle w:val="FootnoteReference"/>
          <w:rFonts w:ascii="Times New Roman" w:hAnsi="Times New Roman" w:cs="Times New Roman"/>
          <w:sz w:val="24"/>
          <w:szCs w:val="24"/>
        </w:rPr>
        <w:footnoteReference w:id="25"/>
      </w:r>
      <w:r w:rsidR="00D1761D" w:rsidRPr="00273D24">
        <w:rPr>
          <w:rFonts w:ascii="Times New Roman" w:hAnsi="Times New Roman" w:cs="Times New Roman"/>
          <w:sz w:val="24"/>
          <w:szCs w:val="24"/>
        </w:rPr>
        <w:t xml:space="preserve"> The 2015 amendment emphasizes shaping “discovery requests to the requisites of the case” and “eliminat[ing] unnecessary or wasteful discovery.”</w:t>
      </w:r>
      <w:r w:rsidR="00D1761D" w:rsidRPr="00273D24">
        <w:rPr>
          <w:rStyle w:val="FootnoteReference"/>
          <w:rFonts w:ascii="Times New Roman" w:hAnsi="Times New Roman" w:cs="Times New Roman"/>
          <w:sz w:val="24"/>
          <w:szCs w:val="24"/>
        </w:rPr>
        <w:footnoteReference w:id="26"/>
      </w:r>
      <w:r w:rsidR="00D1761D" w:rsidRPr="00273D24">
        <w:rPr>
          <w:rFonts w:ascii="Times New Roman" w:hAnsi="Times New Roman" w:cs="Times New Roman"/>
          <w:sz w:val="24"/>
          <w:szCs w:val="24"/>
        </w:rPr>
        <w:t xml:space="preserve"> Accordingly, </w:t>
      </w:r>
      <w:r w:rsidR="00C521C4" w:rsidRPr="00273D24">
        <w:rPr>
          <w:rFonts w:ascii="Times New Roman" w:hAnsi="Times New Roman" w:cs="Times New Roman"/>
          <w:sz w:val="24"/>
          <w:szCs w:val="24"/>
        </w:rPr>
        <w:t>in addition to any proportionality considerations under Federal Rule of Civil Procedure 26(b)(2)(B), when determining the breadth of a party’s ESI production, courts have an “obligation to determine, on a case-specific basis, the appropriate scope of discovery” by weighing “proportionality considerations in a given case.”</w:t>
      </w:r>
      <w:r w:rsidR="00C521C4" w:rsidRPr="00273D24">
        <w:rPr>
          <w:rStyle w:val="FootnoteReference"/>
          <w:rFonts w:ascii="Times New Roman" w:hAnsi="Times New Roman" w:cs="Times New Roman"/>
          <w:sz w:val="24"/>
          <w:szCs w:val="24"/>
        </w:rPr>
        <w:footnoteReference w:id="27"/>
      </w:r>
    </w:p>
    <w:p w14:paraId="27E04AC6" w14:textId="39907F31" w:rsidR="00DB1386" w:rsidRPr="00273D24" w:rsidRDefault="007055BF" w:rsidP="00013AE8">
      <w:pPr>
        <w:spacing w:after="0" w:line="480" w:lineRule="auto"/>
        <w:jc w:val="both"/>
        <w:rPr>
          <w:rFonts w:ascii="Times New Roman" w:hAnsi="Times New Roman" w:cs="Times New Roman"/>
          <w:sz w:val="24"/>
          <w:szCs w:val="24"/>
        </w:rPr>
      </w:pPr>
      <w:r w:rsidRPr="00273D24">
        <w:rPr>
          <w:rFonts w:ascii="Times New Roman" w:hAnsi="Times New Roman" w:cs="Times New Roman"/>
          <w:sz w:val="24"/>
          <w:szCs w:val="24"/>
        </w:rPr>
        <w:lastRenderedPageBreak/>
        <w:tab/>
      </w:r>
      <w:r w:rsidR="0019460F" w:rsidRPr="00273D24">
        <w:rPr>
          <w:rFonts w:ascii="Times New Roman" w:hAnsi="Times New Roman" w:cs="Times New Roman"/>
          <w:sz w:val="24"/>
          <w:szCs w:val="24"/>
        </w:rPr>
        <w:t>Although derived from common law, t</w:t>
      </w:r>
      <w:r w:rsidR="000A5726" w:rsidRPr="00273D24">
        <w:rPr>
          <w:rFonts w:ascii="Times New Roman" w:hAnsi="Times New Roman" w:cs="Times New Roman"/>
          <w:sz w:val="24"/>
          <w:szCs w:val="24"/>
        </w:rPr>
        <w:t>he duty to preserve evidence</w:t>
      </w:r>
      <w:r w:rsidR="0019460F" w:rsidRPr="00273D24">
        <w:rPr>
          <w:rFonts w:ascii="Times New Roman" w:hAnsi="Times New Roman" w:cs="Times New Roman"/>
          <w:sz w:val="24"/>
          <w:szCs w:val="24"/>
        </w:rPr>
        <w:t xml:space="preserve"> which may be discoverable</w:t>
      </w:r>
      <w:r w:rsidR="000A5726" w:rsidRPr="00273D24">
        <w:rPr>
          <w:rFonts w:ascii="Times New Roman" w:hAnsi="Times New Roman" w:cs="Times New Roman"/>
          <w:sz w:val="24"/>
          <w:szCs w:val="24"/>
        </w:rPr>
        <w:t xml:space="preserve"> exists in conjunction with the duty to produce</w:t>
      </w:r>
      <w:r w:rsidR="004A5E95" w:rsidRPr="00273D24">
        <w:rPr>
          <w:rFonts w:ascii="Times New Roman" w:hAnsi="Times New Roman" w:cs="Times New Roman"/>
          <w:sz w:val="24"/>
          <w:szCs w:val="24"/>
        </w:rPr>
        <w:t>.</w:t>
      </w:r>
      <w:r w:rsidR="007B4016" w:rsidRPr="00273D24">
        <w:rPr>
          <w:rStyle w:val="FootnoteReference"/>
          <w:rFonts w:ascii="Times New Roman" w:hAnsi="Times New Roman" w:cs="Times New Roman"/>
          <w:sz w:val="24"/>
          <w:szCs w:val="24"/>
        </w:rPr>
        <w:footnoteReference w:id="28"/>
      </w:r>
      <w:r w:rsidR="004A5E95" w:rsidRPr="00273D24">
        <w:rPr>
          <w:rFonts w:ascii="Times New Roman" w:hAnsi="Times New Roman" w:cs="Times New Roman"/>
          <w:sz w:val="24"/>
          <w:szCs w:val="24"/>
        </w:rPr>
        <w:t xml:space="preserve"> Thus, the compete</w:t>
      </w:r>
      <w:r w:rsidR="00F34525" w:rsidRPr="00273D24">
        <w:rPr>
          <w:rFonts w:ascii="Times New Roman" w:hAnsi="Times New Roman" w:cs="Times New Roman"/>
          <w:sz w:val="24"/>
          <w:szCs w:val="24"/>
        </w:rPr>
        <w:t xml:space="preserve">nt practitioner must </w:t>
      </w:r>
      <w:r w:rsidR="004A5E95" w:rsidRPr="00273D24">
        <w:rPr>
          <w:rFonts w:ascii="Times New Roman" w:hAnsi="Times New Roman" w:cs="Times New Roman"/>
          <w:sz w:val="24"/>
          <w:szCs w:val="24"/>
        </w:rPr>
        <w:t>understand and</w:t>
      </w:r>
      <w:r w:rsidR="00F34525" w:rsidRPr="00273D24">
        <w:rPr>
          <w:rFonts w:ascii="Times New Roman" w:hAnsi="Times New Roman" w:cs="Times New Roman"/>
          <w:sz w:val="24"/>
          <w:szCs w:val="24"/>
        </w:rPr>
        <w:t xml:space="preserve"> be able to</w:t>
      </w:r>
      <w:r w:rsidR="004A5E95" w:rsidRPr="00273D24">
        <w:rPr>
          <w:rFonts w:ascii="Times New Roman" w:hAnsi="Times New Roman" w:cs="Times New Roman"/>
          <w:sz w:val="24"/>
          <w:szCs w:val="24"/>
        </w:rPr>
        <w:t xml:space="preserve"> determine the precise moment when such duty to preserve arises</w:t>
      </w:r>
      <w:r w:rsidR="007B4016" w:rsidRPr="00273D24">
        <w:rPr>
          <w:rFonts w:ascii="Times New Roman" w:hAnsi="Times New Roman" w:cs="Times New Roman"/>
          <w:sz w:val="24"/>
          <w:szCs w:val="24"/>
        </w:rPr>
        <w:t>—which is “when the party has notice that the evidence is relevant to litigation or when a party should have known that the evidence may be relevant to future litigation.”</w:t>
      </w:r>
      <w:r w:rsidR="007B4016" w:rsidRPr="00273D24">
        <w:rPr>
          <w:rStyle w:val="FootnoteReference"/>
          <w:rFonts w:ascii="Times New Roman" w:hAnsi="Times New Roman" w:cs="Times New Roman"/>
          <w:sz w:val="24"/>
          <w:szCs w:val="24"/>
        </w:rPr>
        <w:footnoteReference w:id="29"/>
      </w:r>
      <w:r w:rsidR="00F732AC" w:rsidRPr="00273D24">
        <w:rPr>
          <w:rFonts w:ascii="Times New Roman" w:hAnsi="Times New Roman" w:cs="Times New Roman"/>
          <w:sz w:val="24"/>
          <w:szCs w:val="24"/>
        </w:rPr>
        <w:t xml:space="preserve">  From this, practitioners may infer that the duty to preserve documents or other electronically stored information clearly begins once a lawsuit is commenced</w:t>
      </w:r>
      <w:r w:rsidR="00C37FFE" w:rsidRPr="00273D24">
        <w:rPr>
          <w:rFonts w:ascii="Times New Roman" w:hAnsi="Times New Roman" w:cs="Times New Roman"/>
          <w:sz w:val="24"/>
          <w:szCs w:val="24"/>
        </w:rPr>
        <w:t>,</w:t>
      </w:r>
      <w:r w:rsidR="00F732AC" w:rsidRPr="00273D24">
        <w:rPr>
          <w:rFonts w:ascii="Times New Roman" w:hAnsi="Times New Roman" w:cs="Times New Roman"/>
          <w:sz w:val="24"/>
          <w:szCs w:val="24"/>
        </w:rPr>
        <w:t xml:space="preserve"> but may exist long before the first pleading is filed.</w:t>
      </w:r>
      <w:r w:rsidR="00F732AC" w:rsidRPr="00273D24">
        <w:rPr>
          <w:rStyle w:val="FootnoteReference"/>
          <w:rFonts w:ascii="Times New Roman" w:hAnsi="Times New Roman" w:cs="Times New Roman"/>
          <w:sz w:val="24"/>
          <w:szCs w:val="24"/>
        </w:rPr>
        <w:footnoteReference w:id="30"/>
      </w:r>
      <w:r w:rsidR="00DB1386" w:rsidRPr="00273D24">
        <w:rPr>
          <w:rFonts w:ascii="Times New Roman" w:hAnsi="Times New Roman" w:cs="Times New Roman"/>
          <w:sz w:val="24"/>
          <w:szCs w:val="24"/>
        </w:rPr>
        <w:t xml:space="preserve">  </w:t>
      </w:r>
    </w:p>
    <w:p w14:paraId="62A167D8" w14:textId="77777777" w:rsidR="00DB1386" w:rsidRPr="00273D24" w:rsidRDefault="00DB1386" w:rsidP="00013AE8">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Thank</w:t>
      </w:r>
      <w:r w:rsidR="00D309E0" w:rsidRPr="00273D24">
        <w:rPr>
          <w:rFonts w:ascii="Times New Roman" w:hAnsi="Times New Roman" w:cs="Times New Roman"/>
          <w:sz w:val="24"/>
          <w:szCs w:val="24"/>
        </w:rPr>
        <w:t>fully, courts have provided</w:t>
      </w:r>
      <w:r w:rsidRPr="00273D24">
        <w:rPr>
          <w:rFonts w:ascii="Times New Roman" w:hAnsi="Times New Roman" w:cs="Times New Roman"/>
          <w:sz w:val="24"/>
          <w:szCs w:val="24"/>
        </w:rPr>
        <w:t xml:space="preserve"> guidance </w:t>
      </w:r>
      <w:r w:rsidR="00A5365D" w:rsidRPr="00273D24">
        <w:rPr>
          <w:rFonts w:ascii="Times New Roman" w:hAnsi="Times New Roman" w:cs="Times New Roman"/>
          <w:sz w:val="24"/>
          <w:szCs w:val="24"/>
        </w:rPr>
        <w:t xml:space="preserve">as to </w:t>
      </w:r>
      <w:r w:rsidRPr="00273D24">
        <w:rPr>
          <w:rFonts w:ascii="Times New Roman" w:hAnsi="Times New Roman" w:cs="Times New Roman"/>
          <w:sz w:val="24"/>
          <w:szCs w:val="24"/>
        </w:rPr>
        <w:t xml:space="preserve">when </w:t>
      </w:r>
      <w:r w:rsidR="00A5365D" w:rsidRPr="00273D24">
        <w:rPr>
          <w:rFonts w:ascii="Times New Roman" w:hAnsi="Times New Roman" w:cs="Times New Roman"/>
          <w:sz w:val="24"/>
          <w:szCs w:val="24"/>
        </w:rPr>
        <w:t xml:space="preserve">the </w:t>
      </w:r>
      <w:r w:rsidRPr="00273D24">
        <w:rPr>
          <w:rFonts w:ascii="Times New Roman" w:hAnsi="Times New Roman" w:cs="Times New Roman"/>
          <w:sz w:val="24"/>
          <w:szCs w:val="24"/>
        </w:rPr>
        <w:t xml:space="preserve">duty to preserve </w:t>
      </w:r>
      <w:r w:rsidR="00E319A5" w:rsidRPr="00273D24">
        <w:rPr>
          <w:rFonts w:ascii="Times New Roman" w:hAnsi="Times New Roman" w:cs="Times New Roman"/>
          <w:sz w:val="24"/>
          <w:szCs w:val="24"/>
        </w:rPr>
        <w:t>arises.  The factors employed by courts to resolve a conflict regarding wh</w:t>
      </w:r>
      <w:r w:rsidR="00DE2C35" w:rsidRPr="00273D24">
        <w:rPr>
          <w:rFonts w:ascii="Times New Roman" w:hAnsi="Times New Roman" w:cs="Times New Roman"/>
          <w:sz w:val="24"/>
          <w:szCs w:val="24"/>
        </w:rPr>
        <w:t xml:space="preserve">ether a duty to preserve exists or did exist at a particular time </w:t>
      </w:r>
      <w:r w:rsidR="00E319A5" w:rsidRPr="00273D24">
        <w:rPr>
          <w:rFonts w:ascii="Times New Roman" w:hAnsi="Times New Roman" w:cs="Times New Roman"/>
          <w:sz w:val="24"/>
          <w:szCs w:val="24"/>
        </w:rPr>
        <w:t xml:space="preserve">are (1) the extent to which the producing party’s conduct was intended to affect the opposing party, (2) the foreseeability of harm to the opposing party, (3) the degree of certainty that the opposing party suffered injury, (4) </w:t>
      </w:r>
      <w:r w:rsidR="00213CC9" w:rsidRPr="00273D24">
        <w:rPr>
          <w:rFonts w:ascii="Times New Roman" w:hAnsi="Times New Roman" w:cs="Times New Roman"/>
          <w:sz w:val="24"/>
          <w:szCs w:val="24"/>
        </w:rPr>
        <w:t>the closeness of the connection between the opposing party’s conduct and the requesting party’s injury, (5) the moral blame attached to the opposing party’s conduct, and (6) the court’s desire to prevent the conduct in the future.</w:t>
      </w:r>
      <w:r w:rsidR="00213CC9" w:rsidRPr="00273D24">
        <w:rPr>
          <w:rStyle w:val="FootnoteReference"/>
          <w:rFonts w:ascii="Times New Roman" w:hAnsi="Times New Roman" w:cs="Times New Roman"/>
          <w:sz w:val="24"/>
          <w:szCs w:val="24"/>
        </w:rPr>
        <w:footnoteReference w:id="31"/>
      </w:r>
      <w:r w:rsidR="00206D0B" w:rsidRPr="00273D24">
        <w:rPr>
          <w:rFonts w:ascii="Times New Roman" w:hAnsi="Times New Roman" w:cs="Times New Roman"/>
          <w:sz w:val="24"/>
          <w:szCs w:val="24"/>
        </w:rPr>
        <w:t xml:space="preserve">  In applying these fact</w:t>
      </w:r>
      <w:r w:rsidR="00D02213" w:rsidRPr="00273D24">
        <w:rPr>
          <w:rFonts w:ascii="Times New Roman" w:hAnsi="Times New Roman" w:cs="Times New Roman"/>
          <w:sz w:val="24"/>
          <w:szCs w:val="24"/>
        </w:rPr>
        <w:t>or</w:t>
      </w:r>
      <w:r w:rsidR="00206D0B" w:rsidRPr="00273D24">
        <w:rPr>
          <w:rFonts w:ascii="Times New Roman" w:hAnsi="Times New Roman" w:cs="Times New Roman"/>
          <w:sz w:val="24"/>
          <w:szCs w:val="24"/>
        </w:rPr>
        <w:t>s, courts appear particularly attentive to the disposition of the litigant(s) and the probability of litigation in order to determine whether the duty to preserve applies.</w:t>
      </w:r>
      <w:r w:rsidR="00206D0B" w:rsidRPr="00273D24">
        <w:rPr>
          <w:rStyle w:val="FootnoteReference"/>
          <w:rFonts w:ascii="Times New Roman" w:hAnsi="Times New Roman" w:cs="Times New Roman"/>
          <w:sz w:val="24"/>
          <w:szCs w:val="24"/>
        </w:rPr>
        <w:footnoteReference w:id="32"/>
      </w:r>
    </w:p>
    <w:p w14:paraId="6519A21B" w14:textId="77777777" w:rsidR="0019460F" w:rsidRPr="00273D24" w:rsidRDefault="00656F42" w:rsidP="00013AE8">
      <w:pPr>
        <w:spacing w:after="0" w:line="480" w:lineRule="auto"/>
        <w:jc w:val="both"/>
        <w:rPr>
          <w:rFonts w:ascii="Times New Roman" w:hAnsi="Times New Roman" w:cs="Times New Roman"/>
          <w:sz w:val="24"/>
          <w:szCs w:val="24"/>
        </w:rPr>
      </w:pPr>
      <w:r w:rsidRPr="00273D24">
        <w:rPr>
          <w:rFonts w:ascii="Times New Roman" w:hAnsi="Times New Roman" w:cs="Times New Roman"/>
          <w:sz w:val="24"/>
          <w:szCs w:val="24"/>
        </w:rPr>
        <w:lastRenderedPageBreak/>
        <w:tab/>
        <w:t xml:space="preserve">Following the determination of </w:t>
      </w:r>
      <w:r w:rsidRPr="00273D24">
        <w:rPr>
          <w:rFonts w:ascii="Times New Roman" w:hAnsi="Times New Roman" w:cs="Times New Roman"/>
          <w:i/>
          <w:sz w:val="24"/>
          <w:szCs w:val="24"/>
        </w:rPr>
        <w:t>when</w:t>
      </w:r>
      <w:r w:rsidRPr="00273D24">
        <w:rPr>
          <w:rFonts w:ascii="Times New Roman" w:hAnsi="Times New Roman" w:cs="Times New Roman"/>
          <w:sz w:val="24"/>
          <w:szCs w:val="24"/>
        </w:rPr>
        <w:t xml:space="preserve"> the duty to produce arises, the next relevant inquiry is ascertaining </w:t>
      </w:r>
      <w:r w:rsidRPr="00273D24">
        <w:rPr>
          <w:rFonts w:ascii="Times New Roman" w:hAnsi="Times New Roman" w:cs="Times New Roman"/>
          <w:i/>
          <w:sz w:val="24"/>
          <w:szCs w:val="24"/>
        </w:rPr>
        <w:t>what</w:t>
      </w:r>
      <w:r w:rsidRPr="00273D24">
        <w:rPr>
          <w:rFonts w:ascii="Times New Roman" w:hAnsi="Times New Roman" w:cs="Times New Roman"/>
          <w:sz w:val="24"/>
          <w:szCs w:val="24"/>
        </w:rPr>
        <w:t xml:space="preserve"> must be </w:t>
      </w:r>
      <w:r w:rsidR="009971AF" w:rsidRPr="00273D24">
        <w:rPr>
          <w:rFonts w:ascii="Times New Roman" w:hAnsi="Times New Roman" w:cs="Times New Roman"/>
          <w:sz w:val="24"/>
          <w:szCs w:val="24"/>
        </w:rPr>
        <w:t>preserved.  This second inquest</w:t>
      </w:r>
      <w:r w:rsidRPr="00273D24">
        <w:rPr>
          <w:rFonts w:ascii="Times New Roman" w:hAnsi="Times New Roman" w:cs="Times New Roman"/>
          <w:sz w:val="24"/>
          <w:szCs w:val="24"/>
        </w:rPr>
        <w:t xml:space="preserve"> is particularly important in light of the </w:t>
      </w:r>
      <w:r w:rsidR="009971AF" w:rsidRPr="00273D24">
        <w:rPr>
          <w:rFonts w:ascii="Times New Roman" w:hAnsi="Times New Roman" w:cs="Times New Roman"/>
          <w:sz w:val="24"/>
          <w:szCs w:val="24"/>
        </w:rPr>
        <w:t>potentially massive scope of electronically stored information in any particular lawsuit.  To answer this question, courts turn to the general discovery rules which, in part, entitle parties to discovery of “any non-privileged matter that is relevant to any party’s claim or defense.”</w:t>
      </w:r>
      <w:r w:rsidR="009971AF" w:rsidRPr="00273D24">
        <w:rPr>
          <w:rStyle w:val="FootnoteReference"/>
          <w:rFonts w:ascii="Times New Roman" w:hAnsi="Times New Roman" w:cs="Times New Roman"/>
          <w:sz w:val="24"/>
          <w:szCs w:val="24"/>
        </w:rPr>
        <w:footnoteReference w:id="33"/>
      </w:r>
      <w:r w:rsidR="00762CC2" w:rsidRPr="00273D24">
        <w:rPr>
          <w:rFonts w:ascii="Times New Roman" w:hAnsi="Times New Roman" w:cs="Times New Roman"/>
          <w:sz w:val="24"/>
          <w:szCs w:val="24"/>
        </w:rPr>
        <w:t xml:space="preserve">  Thus, parties are obligated to preserve all relevant documents in existence at the time the duty to preserve arises and must produce those documents when requested.</w:t>
      </w:r>
      <w:r w:rsidR="00762CC2" w:rsidRPr="00273D24">
        <w:rPr>
          <w:rStyle w:val="FootnoteReference"/>
          <w:rFonts w:ascii="Times New Roman" w:hAnsi="Times New Roman" w:cs="Times New Roman"/>
          <w:sz w:val="24"/>
          <w:szCs w:val="24"/>
        </w:rPr>
        <w:footnoteReference w:id="34"/>
      </w:r>
      <w:r w:rsidR="00762CC2" w:rsidRPr="00273D24">
        <w:rPr>
          <w:rFonts w:ascii="Times New Roman" w:hAnsi="Times New Roman" w:cs="Times New Roman"/>
          <w:sz w:val="24"/>
          <w:szCs w:val="24"/>
        </w:rPr>
        <w:t xml:space="preserve">   Parties also have a continuing duty to supplement their document disclosures throughout the discovery process.</w:t>
      </w:r>
      <w:r w:rsidR="00762CC2" w:rsidRPr="00273D24">
        <w:rPr>
          <w:rStyle w:val="FootnoteReference"/>
          <w:rFonts w:ascii="Times New Roman" w:hAnsi="Times New Roman" w:cs="Times New Roman"/>
          <w:sz w:val="24"/>
          <w:szCs w:val="24"/>
        </w:rPr>
        <w:footnoteReference w:id="35"/>
      </w:r>
    </w:p>
    <w:p w14:paraId="236CE171" w14:textId="77777777" w:rsidR="008C7C6A" w:rsidRPr="00273D24" w:rsidRDefault="008C7C6A" w:rsidP="008C7C6A">
      <w:pPr>
        <w:pStyle w:val="ListParagraph"/>
        <w:numPr>
          <w:ilvl w:val="0"/>
          <w:numId w:val="3"/>
        </w:numPr>
        <w:jc w:val="both"/>
        <w:rPr>
          <w:rFonts w:ascii="Times New Roman" w:hAnsi="Times New Roman" w:cs="Times New Roman"/>
          <w:b/>
          <w:sz w:val="24"/>
          <w:szCs w:val="24"/>
          <w:u w:val="single"/>
        </w:rPr>
      </w:pPr>
      <w:r w:rsidRPr="00273D24">
        <w:rPr>
          <w:rFonts w:ascii="Times New Roman" w:hAnsi="Times New Roman" w:cs="Times New Roman"/>
          <w:b/>
          <w:sz w:val="24"/>
          <w:szCs w:val="24"/>
          <w:u w:val="single"/>
        </w:rPr>
        <w:t>DEFENSIBLE LEGAL HOLDS</w:t>
      </w:r>
    </w:p>
    <w:p w14:paraId="23117AA7" w14:textId="77777777" w:rsidR="008C7C6A" w:rsidRPr="00273D24" w:rsidRDefault="008C7C6A" w:rsidP="008C7C6A">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A best practice to engage in when a party reasonably anticipates litigation is to “suspend [any] routine [document] retention policy and implement a litigation hold.”</w:t>
      </w:r>
      <w:r w:rsidRPr="00273D24">
        <w:rPr>
          <w:rStyle w:val="FootnoteReference"/>
          <w:rFonts w:ascii="Times New Roman" w:hAnsi="Times New Roman" w:cs="Times New Roman"/>
          <w:sz w:val="24"/>
          <w:szCs w:val="24"/>
        </w:rPr>
        <w:footnoteReference w:id="36"/>
      </w:r>
      <w:r w:rsidRPr="00273D24">
        <w:rPr>
          <w:rFonts w:ascii="Times New Roman" w:hAnsi="Times New Roman" w:cs="Times New Roman"/>
          <w:sz w:val="24"/>
          <w:szCs w:val="24"/>
        </w:rPr>
        <w:t xml:space="preserve">  The intended effect of such litigation hold is to prohibit the destruction or alteration of documents which may be relevant to pending or anticipated litigation.  While a litigation hold may not completely insulate a client from a spoliation finding, many courts consider their issuance as a mitigating factor in such circumstances.</w:t>
      </w:r>
      <w:r w:rsidRPr="00273D24">
        <w:rPr>
          <w:rStyle w:val="FootnoteReference"/>
          <w:rFonts w:ascii="Times New Roman" w:hAnsi="Times New Roman" w:cs="Times New Roman"/>
          <w:sz w:val="24"/>
          <w:szCs w:val="24"/>
        </w:rPr>
        <w:footnoteReference w:id="37"/>
      </w:r>
    </w:p>
    <w:p w14:paraId="709B20E5" w14:textId="77777777" w:rsidR="008C7C6A" w:rsidRPr="00273D24" w:rsidRDefault="002502E8" w:rsidP="008C7C6A">
      <w:pPr>
        <w:spacing w:after="0" w:line="480" w:lineRule="auto"/>
        <w:jc w:val="both"/>
        <w:rPr>
          <w:rFonts w:ascii="Times New Roman" w:hAnsi="Times New Roman" w:cs="Times New Roman"/>
          <w:sz w:val="24"/>
          <w:szCs w:val="24"/>
        </w:rPr>
      </w:pPr>
      <w:r w:rsidRPr="00273D24">
        <w:rPr>
          <w:rFonts w:ascii="Times New Roman" w:hAnsi="Times New Roman" w:cs="Times New Roman"/>
          <w:sz w:val="24"/>
          <w:szCs w:val="24"/>
        </w:rPr>
        <w:tab/>
      </w:r>
      <w:r w:rsidR="008C7C6A" w:rsidRPr="00273D24">
        <w:rPr>
          <w:rFonts w:ascii="Times New Roman" w:hAnsi="Times New Roman" w:cs="Times New Roman"/>
          <w:sz w:val="24"/>
          <w:szCs w:val="24"/>
        </w:rPr>
        <w:t xml:space="preserve">While there is no precise form for a litigation hold letter, it should contain a notice to the client that litigation is underway or reasonably anticipated.  In the latter, the letter should generally describe the expected matter and claims as to assist the client in identifying which employees or other custodians may possess relevant information.  An adequate litigation hold </w:t>
      </w:r>
      <w:r w:rsidR="008C7C6A" w:rsidRPr="00273D24">
        <w:rPr>
          <w:rFonts w:ascii="Times New Roman" w:hAnsi="Times New Roman" w:cs="Times New Roman"/>
          <w:sz w:val="24"/>
          <w:szCs w:val="24"/>
        </w:rPr>
        <w:lastRenderedPageBreak/>
        <w:t>letter should also identify probable sources of relevant information (e-mails, text messages, etc.) and their potential locations (servers, laptop computers, etc.).</w:t>
      </w:r>
      <w:r w:rsidR="008C7C6A" w:rsidRPr="00273D24">
        <w:rPr>
          <w:rStyle w:val="FootnoteReference"/>
          <w:rFonts w:ascii="Times New Roman" w:hAnsi="Times New Roman" w:cs="Times New Roman"/>
          <w:sz w:val="24"/>
          <w:szCs w:val="24"/>
        </w:rPr>
        <w:footnoteReference w:id="38"/>
      </w:r>
    </w:p>
    <w:p w14:paraId="0A49F54B" w14:textId="77777777" w:rsidR="002502E8" w:rsidRPr="00273D24" w:rsidRDefault="008C7C6A" w:rsidP="00BC0752">
      <w:pPr>
        <w:pStyle w:val="ListParagraph"/>
        <w:numPr>
          <w:ilvl w:val="0"/>
          <w:numId w:val="3"/>
        </w:numPr>
        <w:spacing w:after="240" w:line="240" w:lineRule="auto"/>
        <w:jc w:val="both"/>
        <w:rPr>
          <w:rFonts w:ascii="Times New Roman" w:hAnsi="Times New Roman" w:cs="Times New Roman"/>
          <w:b/>
          <w:caps/>
          <w:sz w:val="24"/>
          <w:szCs w:val="24"/>
          <w:u w:val="single"/>
        </w:rPr>
      </w:pPr>
      <w:r w:rsidRPr="00273D24">
        <w:rPr>
          <w:rFonts w:ascii="Times New Roman" w:hAnsi="Times New Roman" w:cs="Times New Roman"/>
          <w:b/>
          <w:caps/>
          <w:sz w:val="24"/>
          <w:szCs w:val="24"/>
          <w:u w:val="single"/>
        </w:rPr>
        <w:t>Metadata Explained</w:t>
      </w:r>
    </w:p>
    <w:p w14:paraId="5253FAB6" w14:textId="77777777" w:rsidR="00BC0752" w:rsidRPr="00273D24" w:rsidRDefault="00BC0752" w:rsidP="00BC0752">
      <w:pPr>
        <w:pStyle w:val="ListParagraph"/>
        <w:spacing w:after="240" w:line="240" w:lineRule="auto"/>
        <w:jc w:val="both"/>
        <w:rPr>
          <w:rFonts w:ascii="Times New Roman" w:hAnsi="Times New Roman" w:cs="Times New Roman"/>
          <w:b/>
          <w:caps/>
          <w:sz w:val="24"/>
          <w:szCs w:val="24"/>
          <w:u w:val="single"/>
        </w:rPr>
      </w:pPr>
    </w:p>
    <w:p w14:paraId="7AC6085B" w14:textId="77777777" w:rsidR="002502E8" w:rsidRPr="00273D24" w:rsidRDefault="00BC0752" w:rsidP="00BC0752">
      <w:pPr>
        <w:pStyle w:val="ListParagraph"/>
        <w:spacing w:line="480" w:lineRule="auto"/>
        <w:ind w:left="0"/>
        <w:jc w:val="both"/>
        <w:rPr>
          <w:rFonts w:ascii="Times New Roman" w:hAnsi="Times New Roman" w:cs="Times New Roman"/>
          <w:caps/>
          <w:sz w:val="24"/>
          <w:szCs w:val="24"/>
        </w:rPr>
      </w:pPr>
      <w:r w:rsidRPr="00273D24">
        <w:rPr>
          <w:rFonts w:ascii="Times New Roman" w:hAnsi="Times New Roman" w:cs="Times New Roman"/>
          <w:b/>
          <w:caps/>
          <w:sz w:val="24"/>
          <w:szCs w:val="24"/>
        </w:rPr>
        <w:tab/>
      </w:r>
      <w:r w:rsidR="00592912" w:rsidRPr="00273D24">
        <w:rPr>
          <w:rFonts w:ascii="Times New Roman" w:hAnsi="Times New Roman" w:cs="Times New Roman"/>
          <w:sz w:val="24"/>
          <w:szCs w:val="24"/>
        </w:rPr>
        <w:t>Because of the nature of electronic discovery</w:t>
      </w:r>
      <w:r w:rsidRPr="00273D24">
        <w:rPr>
          <w:rFonts w:ascii="Times New Roman" w:hAnsi="Times New Roman" w:cs="Times New Roman"/>
          <w:sz w:val="24"/>
          <w:szCs w:val="24"/>
        </w:rPr>
        <w:t>, practitioners must be alert to the additional information that lurks behind the data—metadata.</w:t>
      </w:r>
    </w:p>
    <w:p w14:paraId="1A3B8F03" w14:textId="77777777" w:rsidR="008C7C6A" w:rsidRPr="00273D24" w:rsidRDefault="008C7C6A" w:rsidP="008C7C6A">
      <w:pPr>
        <w:pStyle w:val="ListParagraph"/>
        <w:spacing w:before="240" w:line="240" w:lineRule="auto"/>
        <w:jc w:val="both"/>
        <w:rPr>
          <w:rFonts w:ascii="Times New Roman" w:hAnsi="Times New Roman" w:cs="Times New Roman"/>
          <w:b/>
          <w:caps/>
          <w:sz w:val="24"/>
          <w:szCs w:val="24"/>
          <w:u w:val="single"/>
        </w:rPr>
      </w:pPr>
      <w:r w:rsidRPr="00273D24">
        <w:rPr>
          <w:rFonts w:ascii="Times New Roman" w:hAnsi="Times New Roman" w:cs="Times New Roman"/>
          <w:b/>
          <w:sz w:val="24"/>
          <w:szCs w:val="24"/>
        </w:rPr>
        <w:t>1.</w:t>
      </w:r>
      <w:r w:rsidRPr="00273D24">
        <w:rPr>
          <w:rFonts w:ascii="Times New Roman" w:hAnsi="Times New Roman" w:cs="Times New Roman"/>
          <w:b/>
          <w:sz w:val="24"/>
          <w:szCs w:val="24"/>
        </w:rPr>
        <w:tab/>
      </w:r>
      <w:r w:rsidRPr="00273D24">
        <w:rPr>
          <w:rFonts w:ascii="Times New Roman" w:hAnsi="Times New Roman" w:cs="Times New Roman"/>
          <w:b/>
          <w:sz w:val="24"/>
          <w:szCs w:val="24"/>
          <w:u w:val="single"/>
        </w:rPr>
        <w:t>Defining Different Types and Formats</w:t>
      </w:r>
    </w:p>
    <w:p w14:paraId="79EA149E" w14:textId="77777777" w:rsidR="008C7C6A" w:rsidRPr="00273D24" w:rsidRDefault="008C7C6A" w:rsidP="008C7C6A">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Metadata is often described as “data about data.”</w:t>
      </w:r>
      <w:r w:rsidRPr="00273D24">
        <w:rPr>
          <w:rStyle w:val="FootnoteReference"/>
          <w:rFonts w:ascii="Times New Roman" w:hAnsi="Times New Roman" w:cs="Times New Roman"/>
          <w:sz w:val="24"/>
          <w:szCs w:val="24"/>
        </w:rPr>
        <w:footnoteReference w:id="39"/>
      </w:r>
      <w:r w:rsidRPr="00273D24">
        <w:rPr>
          <w:rFonts w:ascii="Times New Roman" w:hAnsi="Times New Roman" w:cs="Times New Roman"/>
          <w:sz w:val="24"/>
          <w:szCs w:val="24"/>
        </w:rPr>
        <w:t xml:space="preserve">  The term refers to “hidden data that usually can only be seen when a digital document is viewed in its native format using the program that originally produced the document.”</w:t>
      </w:r>
      <w:r w:rsidRPr="00273D24">
        <w:rPr>
          <w:rStyle w:val="FootnoteReference"/>
          <w:rFonts w:ascii="Times New Roman" w:hAnsi="Times New Roman" w:cs="Times New Roman"/>
          <w:sz w:val="24"/>
          <w:szCs w:val="24"/>
        </w:rPr>
        <w:footnoteReference w:id="40"/>
      </w:r>
      <w:r w:rsidRPr="00273D24">
        <w:rPr>
          <w:rFonts w:ascii="Times New Roman" w:hAnsi="Times New Roman" w:cs="Times New Roman"/>
          <w:sz w:val="24"/>
          <w:szCs w:val="24"/>
        </w:rPr>
        <w:t xml:space="preserve">  For example, when a user creates, opens, or saves a document in Microsoft Word, the specific file accessed does not just create the text generated by the user, but actually a spectrum of “metadata” including the user’s name, company name, computer name, the name of the network or hard drive where the document is saved, the names of previous authors, document revisions, document versions, hidden text, and comments, just to name a few.</w:t>
      </w:r>
      <w:r w:rsidRPr="00273D24">
        <w:rPr>
          <w:rStyle w:val="FootnoteReference"/>
          <w:rFonts w:ascii="Times New Roman" w:hAnsi="Times New Roman" w:cs="Times New Roman"/>
          <w:sz w:val="24"/>
          <w:szCs w:val="24"/>
        </w:rPr>
        <w:footnoteReference w:id="41"/>
      </w:r>
      <w:r w:rsidRPr="00273D24">
        <w:rPr>
          <w:rFonts w:ascii="Times New Roman" w:hAnsi="Times New Roman" w:cs="Times New Roman"/>
          <w:sz w:val="24"/>
          <w:szCs w:val="24"/>
        </w:rPr>
        <w:t xml:space="preserve">  Similarly, the same types of metadata are created when e-mail messages are sent or received, as well as the specific version of a document attached to an e-mail message.</w:t>
      </w:r>
      <w:r w:rsidRPr="00273D24">
        <w:rPr>
          <w:rStyle w:val="FootnoteReference"/>
          <w:rFonts w:ascii="Times New Roman" w:hAnsi="Times New Roman" w:cs="Times New Roman"/>
          <w:sz w:val="24"/>
          <w:szCs w:val="24"/>
        </w:rPr>
        <w:footnoteReference w:id="42"/>
      </w:r>
      <w:r w:rsidRPr="00273D24">
        <w:rPr>
          <w:rFonts w:ascii="Times New Roman" w:hAnsi="Times New Roman" w:cs="Times New Roman"/>
          <w:sz w:val="24"/>
          <w:szCs w:val="24"/>
        </w:rPr>
        <w:t xml:space="preserve">  Thus, metadata and the information conveyed by it can serve a limitless number of </w:t>
      </w:r>
      <w:r w:rsidRPr="00273D24">
        <w:rPr>
          <w:rFonts w:ascii="Times New Roman" w:hAnsi="Times New Roman" w:cs="Times New Roman"/>
          <w:sz w:val="24"/>
          <w:szCs w:val="24"/>
        </w:rPr>
        <w:lastRenderedPageBreak/>
        <w:t>functions in litigation, including determining if and when information was produced, settling billing disputes, and improving the efficiency of document searches.</w:t>
      </w:r>
      <w:r w:rsidRPr="00273D24">
        <w:rPr>
          <w:rStyle w:val="FootnoteReference"/>
          <w:rFonts w:ascii="Times New Roman" w:hAnsi="Times New Roman" w:cs="Times New Roman"/>
          <w:sz w:val="24"/>
          <w:szCs w:val="24"/>
        </w:rPr>
        <w:footnoteReference w:id="43"/>
      </w:r>
      <w:r w:rsidRPr="00273D24">
        <w:rPr>
          <w:rFonts w:ascii="Times New Roman" w:hAnsi="Times New Roman" w:cs="Times New Roman"/>
          <w:sz w:val="24"/>
          <w:szCs w:val="24"/>
        </w:rPr>
        <w:t xml:space="preserve"> </w:t>
      </w:r>
    </w:p>
    <w:p w14:paraId="208F560D" w14:textId="45E6C313" w:rsidR="00B668D6" w:rsidRPr="00273D24" w:rsidRDefault="008C7C6A" w:rsidP="00C521C4">
      <w:pPr>
        <w:spacing w:after="0" w:line="480" w:lineRule="auto"/>
        <w:ind w:firstLine="720"/>
        <w:jc w:val="both"/>
        <w:rPr>
          <w:rFonts w:ascii="Times New Roman" w:hAnsi="Times New Roman" w:cs="Times New Roman"/>
          <w:b/>
          <w:sz w:val="24"/>
          <w:szCs w:val="24"/>
        </w:rPr>
      </w:pPr>
      <w:r w:rsidRPr="00273D24">
        <w:rPr>
          <w:rFonts w:ascii="Times New Roman" w:hAnsi="Times New Roman" w:cs="Times New Roman"/>
          <w:sz w:val="24"/>
          <w:szCs w:val="24"/>
        </w:rPr>
        <w:t>Metadata is normally categorized into two groups: (1) “system metadata,” which is “automatically created by the software program” without any input from the user, and (2) metadata that “is created by the software because the [user] is purposefully using certain features.”</w:t>
      </w:r>
      <w:r w:rsidRPr="00273D24">
        <w:rPr>
          <w:rStyle w:val="FootnoteReference"/>
          <w:rFonts w:ascii="Times New Roman" w:hAnsi="Times New Roman" w:cs="Times New Roman"/>
          <w:sz w:val="24"/>
          <w:szCs w:val="24"/>
        </w:rPr>
        <w:footnoteReference w:id="44"/>
      </w:r>
      <w:r w:rsidRPr="00273D24">
        <w:rPr>
          <w:rFonts w:ascii="Times New Roman" w:hAnsi="Times New Roman" w:cs="Times New Roman"/>
          <w:sz w:val="24"/>
          <w:szCs w:val="24"/>
        </w:rPr>
        <w:t xml:space="preserve">  The first category, system metadata, typically includes the user’s name, the “location on the [user’s] system where the document is saved, the date and time when the [item] was originally created and the dates and times reflecting when the document was last modified or accessed.”</w:t>
      </w:r>
      <w:r w:rsidRPr="00273D24">
        <w:rPr>
          <w:rStyle w:val="FootnoteReference"/>
          <w:rFonts w:ascii="Times New Roman" w:hAnsi="Times New Roman" w:cs="Times New Roman"/>
          <w:sz w:val="24"/>
          <w:szCs w:val="24"/>
        </w:rPr>
        <w:footnoteReference w:id="45"/>
      </w:r>
      <w:r w:rsidRPr="00273D24">
        <w:rPr>
          <w:rFonts w:ascii="Times New Roman" w:hAnsi="Times New Roman" w:cs="Times New Roman"/>
          <w:sz w:val="24"/>
          <w:szCs w:val="24"/>
        </w:rPr>
        <w:t xml:space="preserve">  System metadata also includes the size of the document and the amount of time a user spent in the document or program, all of which is accessible to the user.</w:t>
      </w:r>
      <w:r w:rsidRPr="00273D24">
        <w:rPr>
          <w:rStyle w:val="FootnoteReference"/>
          <w:rFonts w:ascii="Times New Roman" w:hAnsi="Times New Roman" w:cs="Times New Roman"/>
          <w:sz w:val="24"/>
          <w:szCs w:val="24"/>
        </w:rPr>
        <w:footnoteReference w:id="46"/>
      </w:r>
      <w:r w:rsidRPr="00273D24">
        <w:rPr>
          <w:rFonts w:ascii="Times New Roman" w:hAnsi="Times New Roman" w:cs="Times New Roman"/>
          <w:sz w:val="24"/>
          <w:szCs w:val="24"/>
        </w:rPr>
        <w:t xml:space="preserve">  The second category of metadata includes ancillary items such as embedded comments created by the author in word processing software or the use of the “track changes” feature to log revisions and other comments.</w:t>
      </w:r>
      <w:r w:rsidRPr="00273D24">
        <w:rPr>
          <w:rStyle w:val="FootnoteReference"/>
          <w:rFonts w:ascii="Times New Roman" w:hAnsi="Times New Roman" w:cs="Times New Roman"/>
          <w:sz w:val="24"/>
          <w:szCs w:val="24"/>
        </w:rPr>
        <w:footnoteReference w:id="47"/>
      </w:r>
    </w:p>
    <w:p w14:paraId="35E4FEB9" w14:textId="77777777" w:rsidR="008C7C6A" w:rsidRPr="00273D24" w:rsidRDefault="008C7C6A" w:rsidP="008C7C6A">
      <w:pPr>
        <w:spacing w:after="0" w:line="480" w:lineRule="auto"/>
        <w:ind w:firstLine="720"/>
        <w:jc w:val="both"/>
        <w:rPr>
          <w:rFonts w:ascii="Times New Roman" w:hAnsi="Times New Roman" w:cs="Times New Roman"/>
          <w:b/>
          <w:sz w:val="24"/>
          <w:szCs w:val="24"/>
        </w:rPr>
      </w:pPr>
      <w:r w:rsidRPr="00273D24">
        <w:rPr>
          <w:rFonts w:ascii="Times New Roman" w:hAnsi="Times New Roman" w:cs="Times New Roman"/>
          <w:b/>
          <w:sz w:val="24"/>
          <w:szCs w:val="24"/>
        </w:rPr>
        <w:t>2.</w:t>
      </w:r>
      <w:r w:rsidRPr="00273D24">
        <w:rPr>
          <w:rFonts w:ascii="Times New Roman" w:hAnsi="Times New Roman" w:cs="Times New Roman"/>
          <w:b/>
          <w:sz w:val="24"/>
          <w:szCs w:val="24"/>
        </w:rPr>
        <w:tab/>
      </w:r>
      <w:r w:rsidRPr="00273D24">
        <w:rPr>
          <w:rFonts w:ascii="Times New Roman" w:hAnsi="Times New Roman" w:cs="Times New Roman"/>
          <w:b/>
          <w:sz w:val="24"/>
          <w:szCs w:val="24"/>
          <w:u w:val="single"/>
        </w:rPr>
        <w:t>Metadata Landmines to Avoid</w:t>
      </w:r>
    </w:p>
    <w:p w14:paraId="2D0CDC6B" w14:textId="77777777" w:rsidR="008C7C6A" w:rsidRPr="00273D24" w:rsidRDefault="008C7C6A" w:rsidP="008C7C6A">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 xml:space="preserve">Metadata is created, stored, and transmitted each time a user implements software, creates a document, or sends an email.  Depending on the nature of the metadata and its intended recipient, such metadata may contain or reveal information which the sender did not intend to reveal to the initial recipient or other who may come into possession of the file.  With these potential issues in mind, practitioners must educate themselves on both practical and ethical pitfalls which may be encountered. </w:t>
      </w:r>
    </w:p>
    <w:p w14:paraId="6170CD36" w14:textId="77777777" w:rsidR="008C7C6A" w:rsidRPr="00273D24" w:rsidRDefault="008C7C6A" w:rsidP="008C7C6A">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lastRenderedPageBreak/>
        <w:t>From a professional responsibility perspective, the most pressing question is whether a lawyer who receives an electronic document may ethically “mine” or review the metadata contained by that document in order to glean whatever information may be available.  Perhaps not surprisingly, ethics committees and other writers are divided on the issue.  Many authorities, such as the ABA’s Standing Committee on Ethics and Professional Responsibility, believe that such mining is ethically permissible because there is currently no explicit prohibition on such actions and further because a lawyer is “ethically required to thoroughly review any documents produced by opposing counsel.”</w:t>
      </w:r>
      <w:r w:rsidRPr="00273D24">
        <w:rPr>
          <w:rStyle w:val="FootnoteReference"/>
          <w:rFonts w:ascii="Times New Roman" w:hAnsi="Times New Roman" w:cs="Times New Roman"/>
          <w:sz w:val="24"/>
          <w:szCs w:val="24"/>
        </w:rPr>
        <w:footnoteReference w:id="48"/>
      </w:r>
      <w:r w:rsidRPr="00273D24">
        <w:rPr>
          <w:rFonts w:ascii="Times New Roman" w:hAnsi="Times New Roman" w:cs="Times New Roman"/>
          <w:sz w:val="24"/>
          <w:szCs w:val="24"/>
        </w:rPr>
        <w:t xml:space="preserve">  To those holding such position, the “primary determination that appears to drive [their] analysis is whether receiving lawyers can routinely treat the transmission of an electronic document with metadata intact as being inadvertent.”</w:t>
      </w:r>
      <w:r w:rsidRPr="00273D24">
        <w:rPr>
          <w:rStyle w:val="FootnoteReference"/>
          <w:rFonts w:ascii="Times New Roman" w:hAnsi="Times New Roman" w:cs="Times New Roman"/>
          <w:sz w:val="24"/>
          <w:szCs w:val="24"/>
        </w:rPr>
        <w:footnoteReference w:id="49"/>
      </w:r>
      <w:r w:rsidRPr="00273D24">
        <w:rPr>
          <w:rFonts w:ascii="Times New Roman" w:hAnsi="Times New Roman" w:cs="Times New Roman"/>
          <w:sz w:val="24"/>
          <w:szCs w:val="24"/>
        </w:rPr>
        <w:t xml:space="preserve">    </w:t>
      </w:r>
    </w:p>
    <w:p w14:paraId="763D6C42" w14:textId="128C4004" w:rsidR="00C521C4" w:rsidRPr="00273D24" w:rsidRDefault="008C7C6A" w:rsidP="008C7C6A">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On the other hand, entities such as the New York State Bar Association’s Committee on Professional Ethics have opined that analyzing metadata is unethical and analogous to a “less technologically sophisticated means of invading the attorney-client relationship.”</w:t>
      </w:r>
      <w:r w:rsidRPr="00273D24">
        <w:rPr>
          <w:rStyle w:val="FootnoteReference"/>
          <w:rFonts w:ascii="Times New Roman" w:hAnsi="Times New Roman" w:cs="Times New Roman"/>
          <w:sz w:val="24"/>
          <w:szCs w:val="24"/>
        </w:rPr>
        <w:footnoteReference w:id="50"/>
      </w:r>
      <w:r w:rsidRPr="00273D24">
        <w:rPr>
          <w:rFonts w:ascii="Times New Roman" w:hAnsi="Times New Roman" w:cs="Times New Roman"/>
          <w:sz w:val="24"/>
          <w:szCs w:val="24"/>
        </w:rPr>
        <w:t xml:space="preserve">  In such jurisdictions, mining metadata has been found to violate existing ethical rules prohibiting conduct involving dishonesty, deceit, fraud, or misrepresentation, and further amounted to conduct prejudicial to the administration of justice.</w:t>
      </w:r>
      <w:r w:rsidRPr="00273D24">
        <w:rPr>
          <w:rStyle w:val="FootnoteReference"/>
          <w:rFonts w:ascii="Times New Roman" w:hAnsi="Times New Roman" w:cs="Times New Roman"/>
          <w:sz w:val="24"/>
          <w:szCs w:val="24"/>
        </w:rPr>
        <w:footnoteReference w:id="51"/>
      </w:r>
    </w:p>
    <w:p w14:paraId="2980A283" w14:textId="46E732E3" w:rsidR="00C521C4" w:rsidRPr="00273D24" w:rsidRDefault="00C521C4" w:rsidP="008C7C6A">
      <w:pPr>
        <w:spacing w:after="0" w:line="480" w:lineRule="auto"/>
        <w:ind w:firstLine="720"/>
        <w:jc w:val="both"/>
        <w:rPr>
          <w:rFonts w:ascii="Times New Roman" w:hAnsi="Times New Roman" w:cs="Times New Roman"/>
          <w:sz w:val="24"/>
          <w:szCs w:val="24"/>
        </w:rPr>
      </w:pPr>
    </w:p>
    <w:p w14:paraId="2E980A41" w14:textId="19CE26A6" w:rsidR="00C521C4" w:rsidRPr="00273D24" w:rsidRDefault="00C521C4" w:rsidP="008C7C6A">
      <w:pPr>
        <w:spacing w:after="0" w:line="480" w:lineRule="auto"/>
        <w:ind w:firstLine="720"/>
        <w:jc w:val="both"/>
        <w:rPr>
          <w:rFonts w:ascii="Times New Roman" w:hAnsi="Times New Roman" w:cs="Times New Roman"/>
          <w:sz w:val="24"/>
          <w:szCs w:val="24"/>
        </w:rPr>
      </w:pPr>
    </w:p>
    <w:p w14:paraId="14AD6947" w14:textId="5BAC7A65" w:rsidR="00C521C4" w:rsidRPr="00273D24" w:rsidRDefault="00C521C4" w:rsidP="008C7C6A">
      <w:pPr>
        <w:spacing w:after="0" w:line="480" w:lineRule="auto"/>
        <w:ind w:firstLine="720"/>
        <w:jc w:val="both"/>
        <w:rPr>
          <w:rFonts w:ascii="Times New Roman" w:hAnsi="Times New Roman" w:cs="Times New Roman"/>
          <w:sz w:val="24"/>
          <w:szCs w:val="24"/>
        </w:rPr>
      </w:pPr>
    </w:p>
    <w:p w14:paraId="02E057FA" w14:textId="77777777" w:rsidR="00C521C4" w:rsidRPr="00273D24" w:rsidRDefault="00C521C4" w:rsidP="008C7C6A">
      <w:pPr>
        <w:spacing w:after="0" w:line="480" w:lineRule="auto"/>
        <w:ind w:firstLine="720"/>
        <w:jc w:val="both"/>
        <w:rPr>
          <w:rFonts w:ascii="Times New Roman" w:hAnsi="Times New Roman" w:cs="Times New Roman"/>
          <w:sz w:val="24"/>
          <w:szCs w:val="24"/>
        </w:rPr>
      </w:pPr>
    </w:p>
    <w:p w14:paraId="4A4CF1F5" w14:textId="77777777" w:rsidR="008C7C6A" w:rsidRPr="00273D24" w:rsidRDefault="008C7C6A" w:rsidP="008C7C6A">
      <w:pPr>
        <w:spacing w:after="0" w:line="480" w:lineRule="auto"/>
        <w:ind w:firstLine="720"/>
        <w:jc w:val="both"/>
        <w:rPr>
          <w:rFonts w:ascii="Times New Roman" w:hAnsi="Times New Roman" w:cs="Times New Roman"/>
          <w:b/>
          <w:sz w:val="24"/>
          <w:szCs w:val="24"/>
        </w:rPr>
      </w:pPr>
      <w:r w:rsidRPr="00273D24">
        <w:rPr>
          <w:rFonts w:ascii="Times New Roman" w:hAnsi="Times New Roman" w:cs="Times New Roman"/>
          <w:b/>
          <w:sz w:val="24"/>
          <w:szCs w:val="24"/>
        </w:rPr>
        <w:t>3.</w:t>
      </w:r>
      <w:r w:rsidRPr="00273D24">
        <w:rPr>
          <w:rFonts w:ascii="Times New Roman" w:hAnsi="Times New Roman" w:cs="Times New Roman"/>
          <w:b/>
          <w:sz w:val="24"/>
          <w:szCs w:val="24"/>
        </w:rPr>
        <w:tab/>
      </w:r>
      <w:r w:rsidRPr="00273D24">
        <w:rPr>
          <w:rFonts w:ascii="Times New Roman" w:hAnsi="Times New Roman" w:cs="Times New Roman"/>
          <w:b/>
          <w:sz w:val="24"/>
          <w:szCs w:val="24"/>
          <w:u w:val="single"/>
        </w:rPr>
        <w:t>“Scrubbing” Metadata</w:t>
      </w:r>
    </w:p>
    <w:p w14:paraId="04EB311A" w14:textId="77777777" w:rsidR="008C7C6A" w:rsidRPr="00273D24" w:rsidRDefault="008C7C6A" w:rsidP="008C7C6A">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lastRenderedPageBreak/>
        <w:t>There is little dispute that metadata is “an ever-present threat to the practice of law and heavily impacts an attorney’s ethical obligations.”</w:t>
      </w:r>
      <w:r w:rsidRPr="00273D24">
        <w:rPr>
          <w:rStyle w:val="FootnoteReference"/>
          <w:rFonts w:ascii="Times New Roman" w:hAnsi="Times New Roman" w:cs="Times New Roman"/>
          <w:sz w:val="24"/>
          <w:szCs w:val="24"/>
        </w:rPr>
        <w:footnoteReference w:id="52"/>
      </w:r>
      <w:r w:rsidRPr="00273D24">
        <w:rPr>
          <w:rFonts w:ascii="Times New Roman" w:hAnsi="Times New Roman" w:cs="Times New Roman"/>
          <w:sz w:val="24"/>
          <w:szCs w:val="24"/>
        </w:rPr>
        <w:t xml:space="preserve">  In fact, some observers conclude that given the undeveloped law regarding metadata, the issue of protecting it “is likely to continue to plague unwary practitioners and inflate the cost of transaction and litigation representation.”</w:t>
      </w:r>
      <w:r w:rsidRPr="00273D24">
        <w:rPr>
          <w:rStyle w:val="FootnoteReference"/>
          <w:rFonts w:ascii="Times New Roman" w:hAnsi="Times New Roman" w:cs="Times New Roman"/>
          <w:sz w:val="24"/>
          <w:szCs w:val="24"/>
        </w:rPr>
        <w:footnoteReference w:id="53"/>
      </w:r>
      <w:r w:rsidRPr="00273D24">
        <w:rPr>
          <w:rFonts w:ascii="Times New Roman" w:hAnsi="Times New Roman" w:cs="Times New Roman"/>
          <w:sz w:val="24"/>
          <w:szCs w:val="24"/>
        </w:rPr>
        <w:t xml:space="preserve">  In fact, one of the “top malpractice threats that attorneys are advised to avoid are technological issues applicable to metadata.”</w:t>
      </w:r>
      <w:r w:rsidRPr="00273D24">
        <w:rPr>
          <w:rStyle w:val="FootnoteReference"/>
          <w:rFonts w:ascii="Times New Roman" w:hAnsi="Times New Roman" w:cs="Times New Roman"/>
          <w:sz w:val="24"/>
          <w:szCs w:val="24"/>
        </w:rPr>
        <w:footnoteReference w:id="54"/>
      </w:r>
      <w:r w:rsidRPr="00273D24">
        <w:rPr>
          <w:rFonts w:ascii="Times New Roman" w:hAnsi="Times New Roman" w:cs="Times New Roman"/>
          <w:sz w:val="24"/>
          <w:szCs w:val="24"/>
        </w:rPr>
        <w:t xml:space="preserve">  To that end, many believe that an obligation should be imposed on lawyers “to remove confidential information from electronic data [to] prohibit [others] from mining such [metadata]” rather than engaging in a “high-tech free-for-all.”</w:t>
      </w:r>
      <w:r w:rsidRPr="00273D24">
        <w:rPr>
          <w:rStyle w:val="FootnoteReference"/>
          <w:rFonts w:ascii="Times New Roman" w:hAnsi="Times New Roman" w:cs="Times New Roman"/>
          <w:sz w:val="24"/>
          <w:szCs w:val="24"/>
        </w:rPr>
        <w:footnoteReference w:id="55"/>
      </w:r>
      <w:r w:rsidRPr="00273D24">
        <w:rPr>
          <w:rFonts w:ascii="Times New Roman" w:hAnsi="Times New Roman" w:cs="Times New Roman"/>
          <w:sz w:val="24"/>
          <w:szCs w:val="24"/>
        </w:rPr>
        <w:t xml:space="preserve">  This metadata removal process is popularly known as “scrubbing.”</w:t>
      </w:r>
    </w:p>
    <w:p w14:paraId="4DC777E7" w14:textId="77777777" w:rsidR="008C7C6A" w:rsidRPr="00273D24" w:rsidRDefault="008C7C6A" w:rsidP="008C7C6A">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The act of scrubbing is carried out using software classified as “metadata scrubbers.”  Such software and programs are extremely effective and remove the most important components of metadata.</w:t>
      </w:r>
      <w:r w:rsidRPr="00273D24">
        <w:rPr>
          <w:rStyle w:val="FootnoteReference"/>
          <w:rFonts w:ascii="Times New Roman" w:hAnsi="Times New Roman" w:cs="Times New Roman"/>
          <w:sz w:val="24"/>
          <w:szCs w:val="24"/>
        </w:rPr>
        <w:footnoteReference w:id="56"/>
      </w:r>
      <w:r w:rsidRPr="00273D24">
        <w:rPr>
          <w:rFonts w:ascii="Times New Roman" w:hAnsi="Times New Roman" w:cs="Times New Roman"/>
          <w:sz w:val="24"/>
          <w:szCs w:val="24"/>
        </w:rPr>
        <w:t xml:space="preserve">   Legal consulting companies claim that their offered software has the “ability to identify and eliminate some of the more harmful forms of metadata from documents.”</w:t>
      </w:r>
      <w:r w:rsidRPr="00273D24">
        <w:rPr>
          <w:rStyle w:val="FootnoteReference"/>
          <w:rFonts w:ascii="Times New Roman" w:hAnsi="Times New Roman" w:cs="Times New Roman"/>
          <w:sz w:val="24"/>
          <w:szCs w:val="24"/>
        </w:rPr>
        <w:footnoteReference w:id="57"/>
      </w:r>
      <w:r w:rsidRPr="00273D24">
        <w:rPr>
          <w:rFonts w:ascii="Times New Roman" w:hAnsi="Times New Roman" w:cs="Times New Roman"/>
          <w:sz w:val="24"/>
          <w:szCs w:val="24"/>
        </w:rPr>
        <w:t xml:space="preserve">  Such software functions by prompting the user to “scrub” or remove “all or part of the metadata contained within a document before it is transmitted electronically, minimizing the problem of overlooking the existence of metadata.”  Thankfully, particularly to the practitioner, metadata scrubbers are relatively inexpensive and can cost less than $100 per year, depending on the </w:t>
      </w:r>
      <w:r w:rsidRPr="00273D24">
        <w:rPr>
          <w:rFonts w:ascii="Times New Roman" w:hAnsi="Times New Roman" w:cs="Times New Roman"/>
          <w:sz w:val="24"/>
          <w:szCs w:val="24"/>
        </w:rPr>
        <w:lastRenderedPageBreak/>
        <w:t>number of users and subscriptions necessary.</w:t>
      </w:r>
      <w:r w:rsidRPr="00273D24">
        <w:rPr>
          <w:rStyle w:val="FootnoteReference"/>
          <w:rFonts w:ascii="Times New Roman" w:hAnsi="Times New Roman" w:cs="Times New Roman"/>
          <w:sz w:val="24"/>
          <w:szCs w:val="24"/>
        </w:rPr>
        <w:footnoteReference w:id="58"/>
      </w:r>
      <w:r w:rsidRPr="00273D24">
        <w:rPr>
          <w:rFonts w:ascii="Times New Roman" w:hAnsi="Times New Roman" w:cs="Times New Roman"/>
          <w:sz w:val="24"/>
          <w:szCs w:val="24"/>
        </w:rPr>
        <w:t xml:space="preserve">  While metadata scrubbers may be flawed in some instances, when used in conjunction with the functions provided by modern word processing programs, they are generally a wise investment in order to “minimize the potential consequences posed by inadvertent disclosure of metadata containing confidential client information.”</w:t>
      </w:r>
      <w:r w:rsidRPr="00273D24">
        <w:rPr>
          <w:rStyle w:val="FootnoteReference"/>
          <w:rFonts w:ascii="Times New Roman" w:hAnsi="Times New Roman" w:cs="Times New Roman"/>
          <w:sz w:val="24"/>
          <w:szCs w:val="24"/>
        </w:rPr>
        <w:footnoteReference w:id="59"/>
      </w:r>
    </w:p>
    <w:p w14:paraId="784FC15D" w14:textId="77777777" w:rsidR="008C7C6A" w:rsidRPr="00273D24" w:rsidRDefault="008C7C6A" w:rsidP="008C7C6A">
      <w:pPr>
        <w:pStyle w:val="ListParagraph"/>
        <w:numPr>
          <w:ilvl w:val="0"/>
          <w:numId w:val="3"/>
        </w:numPr>
        <w:spacing w:line="240" w:lineRule="auto"/>
        <w:jc w:val="both"/>
        <w:rPr>
          <w:rFonts w:ascii="Times New Roman" w:hAnsi="Times New Roman" w:cs="Times New Roman"/>
          <w:b/>
          <w:caps/>
          <w:sz w:val="24"/>
          <w:szCs w:val="24"/>
          <w:u w:val="single"/>
        </w:rPr>
      </w:pPr>
      <w:r w:rsidRPr="00273D24">
        <w:rPr>
          <w:rFonts w:ascii="Times New Roman" w:hAnsi="Times New Roman" w:cs="Times New Roman"/>
          <w:b/>
          <w:caps/>
          <w:sz w:val="24"/>
          <w:szCs w:val="24"/>
          <w:u w:val="single"/>
        </w:rPr>
        <w:t>USING APP</w:t>
      </w:r>
      <w:r w:rsidR="008E0AF4" w:rsidRPr="00273D24">
        <w:rPr>
          <w:rFonts w:ascii="Times New Roman" w:hAnsi="Times New Roman" w:cs="Times New Roman"/>
          <w:b/>
          <w:caps/>
          <w:sz w:val="24"/>
          <w:szCs w:val="24"/>
          <w:u w:val="single"/>
        </w:rPr>
        <w:t xml:space="preserve">LICATIONS </w:t>
      </w:r>
      <w:r w:rsidRPr="00273D24">
        <w:rPr>
          <w:rFonts w:ascii="Times New Roman" w:hAnsi="Times New Roman" w:cs="Times New Roman"/>
          <w:b/>
          <w:caps/>
          <w:sz w:val="24"/>
          <w:szCs w:val="24"/>
          <w:u w:val="single"/>
        </w:rPr>
        <w:t>AND SOFTWARE TO Obtain esi</w:t>
      </w:r>
    </w:p>
    <w:p w14:paraId="26BA14EF" w14:textId="77777777" w:rsidR="008C7C6A" w:rsidRPr="00273D24" w:rsidRDefault="00B668D6" w:rsidP="00CC3F0F">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 xml:space="preserve">With so much information available </w:t>
      </w:r>
      <w:r w:rsidR="008C7C6A" w:rsidRPr="00273D24">
        <w:rPr>
          <w:rFonts w:ascii="Times New Roman" w:hAnsi="Times New Roman" w:cs="Times New Roman"/>
          <w:sz w:val="24"/>
          <w:szCs w:val="24"/>
        </w:rPr>
        <w:t>from sources such as cell phones, computers</w:t>
      </w:r>
      <w:r w:rsidRPr="00273D24">
        <w:rPr>
          <w:rFonts w:ascii="Times New Roman" w:hAnsi="Times New Roman" w:cs="Times New Roman"/>
          <w:sz w:val="24"/>
          <w:szCs w:val="24"/>
        </w:rPr>
        <w:t>,</w:t>
      </w:r>
      <w:r w:rsidR="008C7C6A" w:rsidRPr="00273D24">
        <w:rPr>
          <w:rFonts w:ascii="Times New Roman" w:hAnsi="Times New Roman" w:cs="Times New Roman"/>
          <w:sz w:val="24"/>
          <w:szCs w:val="24"/>
        </w:rPr>
        <w:t xml:space="preserve"> flash drives and other mediums</w:t>
      </w:r>
      <w:r w:rsidR="00CC3F0F" w:rsidRPr="00273D24">
        <w:rPr>
          <w:rFonts w:ascii="Times New Roman" w:hAnsi="Times New Roman" w:cs="Times New Roman"/>
          <w:sz w:val="24"/>
          <w:szCs w:val="24"/>
        </w:rPr>
        <w:t>, how should a party collect it?</w:t>
      </w:r>
      <w:r w:rsidR="008C7C6A" w:rsidRPr="00273D24">
        <w:rPr>
          <w:rFonts w:ascii="Times New Roman" w:hAnsi="Times New Roman" w:cs="Times New Roman"/>
          <w:sz w:val="24"/>
          <w:szCs w:val="24"/>
        </w:rPr>
        <w:t xml:space="preserve">  There are two primary methods.  A logical acquisition is a simple process which literally results in a copy of the file.</w:t>
      </w:r>
      <w:r w:rsidR="008C7C6A" w:rsidRPr="00273D24">
        <w:rPr>
          <w:rStyle w:val="FootnoteReference"/>
          <w:rFonts w:ascii="Times New Roman" w:hAnsi="Times New Roman" w:cs="Times New Roman"/>
          <w:sz w:val="24"/>
          <w:szCs w:val="24"/>
        </w:rPr>
        <w:footnoteReference w:id="60"/>
      </w:r>
      <w:r w:rsidR="008C7C6A" w:rsidRPr="00273D24">
        <w:rPr>
          <w:rFonts w:ascii="Times New Roman" w:hAnsi="Times New Roman" w:cs="Times New Roman"/>
          <w:sz w:val="24"/>
          <w:szCs w:val="24"/>
        </w:rPr>
        <w:t xml:space="preserve">  Although it “preserves the integrity of the files, it “does not copy the attributes of the physical device.”</w:t>
      </w:r>
      <w:r w:rsidR="008C7C6A" w:rsidRPr="00273D24">
        <w:rPr>
          <w:rStyle w:val="FootnoteReference"/>
          <w:rFonts w:ascii="Times New Roman" w:hAnsi="Times New Roman" w:cs="Times New Roman"/>
          <w:sz w:val="24"/>
          <w:szCs w:val="24"/>
        </w:rPr>
        <w:footnoteReference w:id="61"/>
      </w:r>
      <w:r w:rsidR="008C7C6A" w:rsidRPr="00273D24">
        <w:rPr>
          <w:rFonts w:ascii="Times New Roman" w:hAnsi="Times New Roman" w:cs="Times New Roman"/>
          <w:sz w:val="24"/>
          <w:szCs w:val="24"/>
        </w:rPr>
        <w:t xml:space="preserve">  On the other extreme, a physical collection results in a true “forensic copy of the physical state of the storage memory of [a] device.”</w:t>
      </w:r>
      <w:r w:rsidR="008C7C6A" w:rsidRPr="00273D24">
        <w:rPr>
          <w:rStyle w:val="FootnoteReference"/>
          <w:rFonts w:ascii="Times New Roman" w:hAnsi="Times New Roman" w:cs="Times New Roman"/>
          <w:sz w:val="24"/>
          <w:szCs w:val="24"/>
        </w:rPr>
        <w:footnoteReference w:id="62"/>
      </w:r>
      <w:r w:rsidR="008C7C6A" w:rsidRPr="00273D24">
        <w:rPr>
          <w:rFonts w:ascii="Times New Roman" w:hAnsi="Times New Roman" w:cs="Times New Roman"/>
          <w:sz w:val="24"/>
          <w:szCs w:val="24"/>
        </w:rPr>
        <w:t xml:space="preserve">  This method captures not just a copy of the file, but it also extracts individual data from it.  This second, more complicated method is typically required to capture emails and most application data.</w:t>
      </w:r>
      <w:r w:rsidR="008C7C6A" w:rsidRPr="00273D24">
        <w:rPr>
          <w:rStyle w:val="FootnoteReference"/>
          <w:rFonts w:ascii="Times New Roman" w:hAnsi="Times New Roman" w:cs="Times New Roman"/>
          <w:sz w:val="24"/>
          <w:szCs w:val="24"/>
        </w:rPr>
        <w:footnoteReference w:id="63"/>
      </w:r>
      <w:r w:rsidR="008C7C6A" w:rsidRPr="00273D24">
        <w:rPr>
          <w:rFonts w:ascii="Times New Roman" w:hAnsi="Times New Roman" w:cs="Times New Roman"/>
          <w:sz w:val="24"/>
          <w:szCs w:val="24"/>
        </w:rPr>
        <w:t xml:space="preserve">  </w:t>
      </w:r>
    </w:p>
    <w:p w14:paraId="4BC1C9F3" w14:textId="77777777" w:rsidR="008C7C6A" w:rsidRPr="00273D24" w:rsidRDefault="008C7C6A" w:rsidP="008C7C6A">
      <w:pPr>
        <w:pStyle w:val="ListParagraph"/>
        <w:numPr>
          <w:ilvl w:val="0"/>
          <w:numId w:val="3"/>
        </w:numPr>
        <w:spacing w:line="240" w:lineRule="auto"/>
        <w:jc w:val="both"/>
        <w:rPr>
          <w:rFonts w:ascii="Times New Roman" w:hAnsi="Times New Roman" w:cs="Times New Roman"/>
          <w:b/>
          <w:caps/>
          <w:sz w:val="24"/>
          <w:szCs w:val="24"/>
          <w:u w:val="single"/>
        </w:rPr>
      </w:pPr>
      <w:r w:rsidRPr="00273D24">
        <w:rPr>
          <w:rFonts w:ascii="Times New Roman" w:hAnsi="Times New Roman" w:cs="Times New Roman"/>
          <w:b/>
          <w:caps/>
          <w:sz w:val="24"/>
          <w:szCs w:val="24"/>
          <w:u w:val="single"/>
        </w:rPr>
        <w:t>Predictive Coding Do’s and Don’ts</w:t>
      </w:r>
    </w:p>
    <w:p w14:paraId="646D40CC" w14:textId="77777777" w:rsidR="008C7C6A" w:rsidRPr="00273D24" w:rsidRDefault="008E0AF4" w:rsidP="008C7C6A">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 xml:space="preserve">Given the volume of potential sources of electronic information, </w:t>
      </w:r>
      <w:r w:rsidR="001F5219" w:rsidRPr="00273D24">
        <w:rPr>
          <w:rFonts w:ascii="Times New Roman" w:hAnsi="Times New Roman" w:cs="Times New Roman"/>
          <w:sz w:val="24"/>
          <w:szCs w:val="24"/>
        </w:rPr>
        <w:t xml:space="preserve">searching through it for responsiveness and relevance can be overwhelming.  In that regard, </w:t>
      </w:r>
      <w:r w:rsidR="008C7C6A" w:rsidRPr="00273D24">
        <w:rPr>
          <w:rFonts w:ascii="Times New Roman" w:hAnsi="Times New Roman" w:cs="Times New Roman"/>
          <w:sz w:val="24"/>
          <w:szCs w:val="24"/>
        </w:rPr>
        <w:t>“</w:t>
      </w:r>
      <w:r w:rsidR="001F5219" w:rsidRPr="00273D24">
        <w:rPr>
          <w:rFonts w:ascii="Times New Roman" w:hAnsi="Times New Roman" w:cs="Times New Roman"/>
          <w:sz w:val="24"/>
          <w:szCs w:val="24"/>
        </w:rPr>
        <w:t>p</w:t>
      </w:r>
      <w:r w:rsidR="008C7C6A" w:rsidRPr="00273D24">
        <w:rPr>
          <w:rFonts w:ascii="Times New Roman" w:hAnsi="Times New Roman" w:cs="Times New Roman"/>
          <w:sz w:val="24"/>
          <w:szCs w:val="24"/>
        </w:rPr>
        <w:t xml:space="preserve">redictive coding” is a method of computer assisted document review which some have designated as the most significant development in e-discovery in recent years.  Predictive coding is a “machine learning process” which involves processes performed by both humans and computer systems in order to </w:t>
      </w:r>
      <w:r w:rsidR="008C7C6A" w:rsidRPr="00273D24">
        <w:rPr>
          <w:rFonts w:ascii="Times New Roman" w:hAnsi="Times New Roman" w:cs="Times New Roman"/>
          <w:sz w:val="24"/>
          <w:szCs w:val="24"/>
        </w:rPr>
        <w:lastRenderedPageBreak/>
        <w:t>identify potentially responsive documents.</w:t>
      </w:r>
      <w:r w:rsidR="008C7C6A" w:rsidRPr="00273D24">
        <w:rPr>
          <w:rStyle w:val="FootnoteReference"/>
          <w:rFonts w:ascii="Times New Roman" w:hAnsi="Times New Roman" w:cs="Times New Roman"/>
          <w:sz w:val="24"/>
          <w:szCs w:val="24"/>
        </w:rPr>
        <w:footnoteReference w:id="64"/>
      </w:r>
      <w:r w:rsidR="008C7C6A" w:rsidRPr="00273D24">
        <w:rPr>
          <w:rFonts w:ascii="Times New Roman" w:hAnsi="Times New Roman" w:cs="Times New Roman"/>
          <w:sz w:val="24"/>
          <w:szCs w:val="24"/>
        </w:rPr>
        <w:t xml:space="preserve">  This process, which is far more advanced than a simple keyword search, is generally described as follows.</w:t>
      </w:r>
      <w:r w:rsidR="008C7C6A" w:rsidRPr="00273D24">
        <w:rPr>
          <w:rStyle w:val="FootnoteReference"/>
          <w:rFonts w:ascii="Times New Roman" w:hAnsi="Times New Roman" w:cs="Times New Roman"/>
          <w:sz w:val="24"/>
          <w:szCs w:val="24"/>
        </w:rPr>
        <w:footnoteReference w:id="65"/>
      </w:r>
      <w:r w:rsidR="008C7C6A" w:rsidRPr="00273D24">
        <w:rPr>
          <w:rFonts w:ascii="Times New Roman" w:hAnsi="Times New Roman" w:cs="Times New Roman"/>
          <w:sz w:val="24"/>
          <w:szCs w:val="24"/>
        </w:rPr>
        <w:t xml:space="preserve">  First, an attorney manually reviews a small sample of documents from a pre-production document set to create a “seed set” encompassing documents designated relevant, not relevant, privileged, or not privileged.</w:t>
      </w:r>
      <w:r w:rsidR="008C7C6A" w:rsidRPr="00273D24">
        <w:rPr>
          <w:rStyle w:val="FootnoteReference"/>
          <w:rFonts w:ascii="Times New Roman" w:hAnsi="Times New Roman" w:cs="Times New Roman"/>
          <w:sz w:val="24"/>
          <w:szCs w:val="24"/>
        </w:rPr>
        <w:footnoteReference w:id="66"/>
      </w:r>
      <w:r w:rsidR="008C7C6A" w:rsidRPr="00273D24">
        <w:rPr>
          <w:rFonts w:ascii="Times New Roman" w:hAnsi="Times New Roman" w:cs="Times New Roman"/>
          <w:sz w:val="24"/>
          <w:szCs w:val="24"/>
        </w:rPr>
        <w:t xml:space="preserve">  Next, software implements the seed set to create an algorithm which ranks and codes the remaining documents based upon the attorney’s initial manual review.</w:t>
      </w:r>
      <w:r w:rsidR="008C7C6A" w:rsidRPr="00273D24">
        <w:rPr>
          <w:rStyle w:val="FootnoteReference"/>
          <w:rFonts w:ascii="Times New Roman" w:hAnsi="Times New Roman" w:cs="Times New Roman"/>
          <w:sz w:val="24"/>
          <w:szCs w:val="24"/>
        </w:rPr>
        <w:footnoteReference w:id="67"/>
      </w:r>
      <w:r w:rsidR="008C7C6A" w:rsidRPr="00273D24">
        <w:rPr>
          <w:rFonts w:ascii="Times New Roman" w:hAnsi="Times New Roman" w:cs="Times New Roman"/>
          <w:sz w:val="24"/>
          <w:szCs w:val="24"/>
        </w:rPr>
        <w:t xml:space="preserve">  This process is repeated until the software is capable of designating documents with a certain degree of accuracy.</w:t>
      </w:r>
      <w:r w:rsidR="008C7C6A" w:rsidRPr="00273D24">
        <w:rPr>
          <w:rStyle w:val="FootnoteReference"/>
          <w:rFonts w:ascii="Times New Roman" w:hAnsi="Times New Roman" w:cs="Times New Roman"/>
          <w:sz w:val="24"/>
          <w:szCs w:val="24"/>
        </w:rPr>
        <w:footnoteReference w:id="68"/>
      </w:r>
    </w:p>
    <w:p w14:paraId="4E5BC3ED" w14:textId="77777777" w:rsidR="008C7C6A" w:rsidRPr="00273D24" w:rsidRDefault="008C7C6A" w:rsidP="008C7C6A">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Predictive coding is viewed with great excitement considering its potential for altering the discovery landscape and reducing costs.  It is no secret that in-house counsel and law firms alike are under pressure from their clients to curtail e-discovery costs.  In many cases, law firms are “held accountable for some of these cost pressures so they [feel] the need to analyze discovery early on to identify issues, project costs, and determine appropriate strategies before they undertake a costly review cycle.”</w:t>
      </w:r>
      <w:r w:rsidRPr="00273D24">
        <w:rPr>
          <w:rStyle w:val="FootnoteReference"/>
          <w:rFonts w:ascii="Times New Roman" w:hAnsi="Times New Roman" w:cs="Times New Roman"/>
          <w:sz w:val="24"/>
          <w:szCs w:val="24"/>
        </w:rPr>
        <w:footnoteReference w:id="69"/>
      </w:r>
      <w:r w:rsidRPr="00273D24">
        <w:rPr>
          <w:rFonts w:ascii="Times New Roman" w:hAnsi="Times New Roman" w:cs="Times New Roman"/>
          <w:sz w:val="24"/>
          <w:szCs w:val="24"/>
        </w:rPr>
        <w:t xml:space="preserve">  Many believe that the utilization of predictive coding could alleviate these cost pressures, and even reduce the cost of e-discovery, by significantly streamlining the document review and production process.</w:t>
      </w:r>
      <w:r w:rsidRPr="00273D24">
        <w:rPr>
          <w:rStyle w:val="FootnoteReference"/>
          <w:rFonts w:ascii="Times New Roman" w:hAnsi="Times New Roman" w:cs="Times New Roman"/>
          <w:sz w:val="24"/>
          <w:szCs w:val="24"/>
        </w:rPr>
        <w:footnoteReference w:id="70"/>
      </w:r>
      <w:r w:rsidRPr="00273D24">
        <w:rPr>
          <w:rFonts w:ascii="Times New Roman" w:hAnsi="Times New Roman" w:cs="Times New Roman"/>
          <w:sz w:val="24"/>
          <w:szCs w:val="24"/>
        </w:rPr>
        <w:t xml:space="preserve">  Even further, the speed and </w:t>
      </w:r>
      <w:r w:rsidRPr="00273D24">
        <w:rPr>
          <w:rFonts w:ascii="Times New Roman" w:hAnsi="Times New Roman" w:cs="Times New Roman"/>
          <w:sz w:val="24"/>
          <w:szCs w:val="24"/>
        </w:rPr>
        <w:lastRenderedPageBreak/>
        <w:t>accuracy at which predictive coding operates may provide litigants with an increased awareness of the documents supporting their own case and a more accurate assessment of the claims asserted therein.</w:t>
      </w:r>
      <w:r w:rsidRPr="00273D24">
        <w:rPr>
          <w:rStyle w:val="FootnoteReference"/>
          <w:rFonts w:ascii="Times New Roman" w:hAnsi="Times New Roman" w:cs="Times New Roman"/>
          <w:sz w:val="24"/>
          <w:szCs w:val="24"/>
        </w:rPr>
        <w:footnoteReference w:id="71"/>
      </w:r>
      <w:r w:rsidRPr="00273D24">
        <w:rPr>
          <w:rFonts w:ascii="Times New Roman" w:hAnsi="Times New Roman" w:cs="Times New Roman"/>
          <w:sz w:val="24"/>
          <w:szCs w:val="24"/>
        </w:rPr>
        <w:t xml:space="preserve">  Some observers opine that the potential benefits of predictive coding may lead to the adoption of technology-driven processes like predictive coding as the “gold standard” of discovery review in favor of manual document review.</w:t>
      </w:r>
      <w:r w:rsidRPr="00273D24">
        <w:rPr>
          <w:rStyle w:val="FootnoteReference"/>
          <w:rFonts w:ascii="Times New Roman" w:hAnsi="Times New Roman" w:cs="Times New Roman"/>
          <w:sz w:val="24"/>
          <w:szCs w:val="24"/>
        </w:rPr>
        <w:footnoteReference w:id="72"/>
      </w:r>
      <w:r w:rsidRPr="00273D24">
        <w:rPr>
          <w:rFonts w:ascii="Times New Roman" w:hAnsi="Times New Roman" w:cs="Times New Roman"/>
          <w:sz w:val="24"/>
          <w:szCs w:val="24"/>
        </w:rPr>
        <w:t xml:space="preserve">  Others go as far as predicting that courts will accept predictive coding as a “reasonable” under the Federal Rules of Civil Procedure.</w:t>
      </w:r>
      <w:r w:rsidRPr="00273D24">
        <w:rPr>
          <w:rStyle w:val="FootnoteReference"/>
          <w:rFonts w:ascii="Times New Roman" w:hAnsi="Times New Roman" w:cs="Times New Roman"/>
          <w:sz w:val="24"/>
          <w:szCs w:val="24"/>
        </w:rPr>
        <w:footnoteReference w:id="73"/>
      </w:r>
      <w:r w:rsidRPr="00273D24">
        <w:rPr>
          <w:rFonts w:ascii="Times New Roman" w:hAnsi="Times New Roman" w:cs="Times New Roman"/>
          <w:sz w:val="24"/>
          <w:szCs w:val="24"/>
        </w:rPr>
        <w:t xml:space="preserve">  </w:t>
      </w:r>
    </w:p>
    <w:p w14:paraId="31783191" w14:textId="739BB8C8" w:rsidR="008C7C6A" w:rsidRPr="00273D24" w:rsidRDefault="001F5219" w:rsidP="008C7C6A">
      <w:pPr>
        <w:spacing w:after="0" w:line="480" w:lineRule="auto"/>
        <w:jc w:val="both"/>
        <w:rPr>
          <w:rFonts w:ascii="Times New Roman" w:hAnsi="Times New Roman" w:cs="Times New Roman"/>
          <w:sz w:val="24"/>
          <w:szCs w:val="24"/>
        </w:rPr>
      </w:pPr>
      <w:r w:rsidRPr="00273D24">
        <w:rPr>
          <w:rFonts w:ascii="Times New Roman" w:hAnsi="Times New Roman" w:cs="Times New Roman"/>
          <w:sz w:val="24"/>
          <w:szCs w:val="24"/>
        </w:rPr>
        <w:tab/>
      </w:r>
      <w:r w:rsidR="008C7C6A" w:rsidRPr="00273D24">
        <w:rPr>
          <w:rFonts w:ascii="Times New Roman" w:hAnsi="Times New Roman" w:cs="Times New Roman"/>
          <w:sz w:val="24"/>
          <w:szCs w:val="24"/>
        </w:rPr>
        <w:t>However, in its current form, predictive coding brings with it a number of risks.  For example, the complexity of the software used by predictive coding “increases the risk of missing important relevant documents or inadvertently producing privileged documents.”</w:t>
      </w:r>
      <w:r w:rsidR="008C7C6A" w:rsidRPr="00273D24">
        <w:rPr>
          <w:rStyle w:val="FootnoteReference"/>
          <w:rFonts w:ascii="Times New Roman" w:hAnsi="Times New Roman" w:cs="Times New Roman"/>
          <w:sz w:val="24"/>
          <w:szCs w:val="24"/>
        </w:rPr>
        <w:footnoteReference w:id="74"/>
      </w:r>
      <w:r w:rsidR="008C7C6A" w:rsidRPr="00273D24">
        <w:rPr>
          <w:rFonts w:ascii="Times New Roman" w:hAnsi="Times New Roman" w:cs="Times New Roman"/>
          <w:sz w:val="24"/>
          <w:szCs w:val="24"/>
        </w:rPr>
        <w:t xml:space="preserve">  The occurrence of human error at the “top level” data sampling and attorney review could lead to “a trickle-down effect that compounds downstream document productions.”</w:t>
      </w:r>
      <w:r w:rsidR="008C7C6A" w:rsidRPr="00273D24">
        <w:rPr>
          <w:rStyle w:val="FootnoteReference"/>
          <w:rFonts w:ascii="Times New Roman" w:hAnsi="Times New Roman" w:cs="Times New Roman"/>
          <w:sz w:val="24"/>
          <w:szCs w:val="24"/>
        </w:rPr>
        <w:footnoteReference w:id="75"/>
      </w:r>
      <w:r w:rsidR="008C7C6A" w:rsidRPr="00273D24">
        <w:rPr>
          <w:rFonts w:ascii="Times New Roman" w:hAnsi="Times New Roman" w:cs="Times New Roman"/>
          <w:sz w:val="24"/>
          <w:szCs w:val="24"/>
        </w:rPr>
        <w:t xml:space="preserve">  Another risk entails establishing a seed set with erroneous or otherwise flawed documents, which will further multiply predictive errors.  Despite these risks, studies claim that predictive coding is more accurate than manual attorney review.</w:t>
      </w:r>
      <w:r w:rsidR="008C7C6A" w:rsidRPr="00273D24">
        <w:rPr>
          <w:rStyle w:val="FootnoteReference"/>
          <w:rFonts w:ascii="Times New Roman" w:hAnsi="Times New Roman" w:cs="Times New Roman"/>
          <w:sz w:val="24"/>
          <w:szCs w:val="24"/>
        </w:rPr>
        <w:footnoteReference w:id="76"/>
      </w:r>
    </w:p>
    <w:p w14:paraId="380CBBE2" w14:textId="5B9094CE" w:rsidR="00C521C4" w:rsidRPr="00273D24" w:rsidRDefault="00C521C4" w:rsidP="008C7C6A">
      <w:pPr>
        <w:spacing w:after="0" w:line="480" w:lineRule="auto"/>
        <w:jc w:val="both"/>
        <w:rPr>
          <w:rFonts w:ascii="Times New Roman" w:hAnsi="Times New Roman" w:cs="Times New Roman"/>
          <w:sz w:val="24"/>
          <w:szCs w:val="24"/>
        </w:rPr>
      </w:pPr>
    </w:p>
    <w:p w14:paraId="54A99C85" w14:textId="77777777" w:rsidR="00C521C4" w:rsidRPr="00273D24" w:rsidRDefault="00C521C4" w:rsidP="008C7C6A">
      <w:pPr>
        <w:spacing w:after="0" w:line="480" w:lineRule="auto"/>
        <w:jc w:val="both"/>
        <w:rPr>
          <w:rFonts w:ascii="Times New Roman" w:hAnsi="Times New Roman" w:cs="Times New Roman"/>
          <w:sz w:val="24"/>
          <w:szCs w:val="24"/>
        </w:rPr>
      </w:pPr>
    </w:p>
    <w:p w14:paraId="6B1252AD" w14:textId="3A849A95" w:rsidR="007F4CB5" w:rsidRPr="00273D24" w:rsidRDefault="007F4CB5" w:rsidP="008F1393">
      <w:pPr>
        <w:pStyle w:val="ListParagraph"/>
        <w:numPr>
          <w:ilvl w:val="0"/>
          <w:numId w:val="3"/>
        </w:numPr>
        <w:jc w:val="both"/>
        <w:rPr>
          <w:rFonts w:ascii="Times New Roman" w:hAnsi="Times New Roman" w:cs="Times New Roman"/>
          <w:b/>
          <w:sz w:val="24"/>
          <w:szCs w:val="24"/>
          <w:u w:val="single"/>
        </w:rPr>
      </w:pPr>
      <w:r w:rsidRPr="00273D24">
        <w:rPr>
          <w:rFonts w:ascii="Times New Roman" w:hAnsi="Times New Roman" w:cs="Times New Roman"/>
          <w:b/>
          <w:sz w:val="24"/>
          <w:szCs w:val="24"/>
          <w:u w:val="single"/>
        </w:rPr>
        <w:t xml:space="preserve">SPOLIATION </w:t>
      </w:r>
      <w:r w:rsidR="002B0497" w:rsidRPr="00273D24">
        <w:rPr>
          <w:rFonts w:ascii="Times New Roman" w:hAnsi="Times New Roman" w:cs="Times New Roman"/>
          <w:b/>
          <w:sz w:val="24"/>
          <w:szCs w:val="24"/>
          <w:u w:val="single"/>
        </w:rPr>
        <w:t>PITFALLS</w:t>
      </w:r>
    </w:p>
    <w:p w14:paraId="38FAB03B" w14:textId="77777777" w:rsidR="00A37659" w:rsidRPr="00273D24" w:rsidRDefault="00D41A59" w:rsidP="00013AE8">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lastRenderedPageBreak/>
        <w:t xml:space="preserve">One of the risks associated with electronic information is its destruction, even in the normal course of business, which brings with it the dreaded accusation of spoliation. </w:t>
      </w:r>
      <w:r w:rsidR="008A317C" w:rsidRPr="00273D24">
        <w:rPr>
          <w:rFonts w:ascii="Times New Roman" w:hAnsi="Times New Roman" w:cs="Times New Roman"/>
          <w:sz w:val="24"/>
          <w:szCs w:val="24"/>
        </w:rPr>
        <w:t>Spoliation is the “concealment, destruction or significant alteration of evidence, or the failure to preserve property for another’s use . . . in pending or reasonably foreseeable litigation.”</w:t>
      </w:r>
      <w:r w:rsidR="008A317C" w:rsidRPr="00273D24">
        <w:rPr>
          <w:rStyle w:val="FootnoteReference"/>
          <w:rFonts w:ascii="Times New Roman" w:hAnsi="Times New Roman" w:cs="Times New Roman"/>
          <w:sz w:val="24"/>
          <w:szCs w:val="24"/>
        </w:rPr>
        <w:footnoteReference w:id="77"/>
      </w:r>
      <w:r w:rsidR="00E622D5" w:rsidRPr="00273D24">
        <w:rPr>
          <w:rFonts w:ascii="Times New Roman" w:hAnsi="Times New Roman" w:cs="Times New Roman"/>
          <w:sz w:val="24"/>
          <w:szCs w:val="24"/>
        </w:rPr>
        <w:t xml:space="preserve">  This concept is the counterpart to the “fundamental duty to preserve relevant evidence </w:t>
      </w:r>
      <w:r w:rsidR="009817EC" w:rsidRPr="00273D24">
        <w:rPr>
          <w:rFonts w:ascii="Times New Roman" w:hAnsi="Times New Roman" w:cs="Times New Roman"/>
          <w:sz w:val="24"/>
          <w:szCs w:val="24"/>
        </w:rPr>
        <w:t>over which [an] entity [has] control and reasonably knew or could reasonably foresee was material to a potential legal action.”</w:t>
      </w:r>
      <w:r w:rsidR="009817EC" w:rsidRPr="00273D24">
        <w:rPr>
          <w:rStyle w:val="FootnoteReference"/>
          <w:rFonts w:ascii="Times New Roman" w:hAnsi="Times New Roman" w:cs="Times New Roman"/>
          <w:sz w:val="24"/>
          <w:szCs w:val="24"/>
        </w:rPr>
        <w:footnoteReference w:id="78"/>
      </w:r>
      <w:r w:rsidR="009817EC" w:rsidRPr="00273D24">
        <w:rPr>
          <w:rFonts w:ascii="Times New Roman" w:hAnsi="Times New Roman" w:cs="Times New Roman"/>
          <w:sz w:val="24"/>
          <w:szCs w:val="24"/>
        </w:rPr>
        <w:t xml:space="preserve">  </w:t>
      </w:r>
      <w:r w:rsidR="009D1641" w:rsidRPr="00273D24">
        <w:rPr>
          <w:rFonts w:ascii="Times New Roman" w:hAnsi="Times New Roman" w:cs="Times New Roman"/>
          <w:sz w:val="24"/>
          <w:szCs w:val="24"/>
        </w:rPr>
        <w:t xml:space="preserve">Spoliation and </w:t>
      </w:r>
      <w:r w:rsidR="00B22442" w:rsidRPr="00273D24">
        <w:rPr>
          <w:rFonts w:ascii="Times New Roman" w:hAnsi="Times New Roman" w:cs="Times New Roman"/>
          <w:sz w:val="24"/>
          <w:szCs w:val="24"/>
        </w:rPr>
        <w:t>related considerations are of</w:t>
      </w:r>
      <w:r w:rsidR="009D1641" w:rsidRPr="00273D24">
        <w:rPr>
          <w:rFonts w:ascii="Times New Roman" w:hAnsi="Times New Roman" w:cs="Times New Roman"/>
          <w:sz w:val="24"/>
          <w:szCs w:val="24"/>
        </w:rPr>
        <w:t xml:space="preserve"> utmost importance in modern litigation due to the vast</w:t>
      </w:r>
      <w:r w:rsidR="007951EB" w:rsidRPr="00273D24">
        <w:rPr>
          <w:rFonts w:ascii="Times New Roman" w:hAnsi="Times New Roman" w:cs="Times New Roman"/>
          <w:sz w:val="24"/>
          <w:szCs w:val="24"/>
        </w:rPr>
        <w:t xml:space="preserve"> volume of electronically stored </w:t>
      </w:r>
      <w:r w:rsidR="00EC07E1" w:rsidRPr="00273D24">
        <w:rPr>
          <w:rFonts w:ascii="Times New Roman" w:hAnsi="Times New Roman" w:cs="Times New Roman"/>
          <w:sz w:val="24"/>
          <w:szCs w:val="24"/>
        </w:rPr>
        <w:t>information</w:t>
      </w:r>
      <w:r w:rsidR="007951EB" w:rsidRPr="00273D24">
        <w:rPr>
          <w:rFonts w:ascii="Times New Roman" w:hAnsi="Times New Roman" w:cs="Times New Roman"/>
          <w:sz w:val="24"/>
          <w:szCs w:val="24"/>
        </w:rPr>
        <w:t xml:space="preserve"> created in modern computer systems and the nature of the electron</w:t>
      </w:r>
      <w:r w:rsidR="00B22442" w:rsidRPr="00273D24">
        <w:rPr>
          <w:rFonts w:ascii="Times New Roman" w:hAnsi="Times New Roman" w:cs="Times New Roman"/>
          <w:sz w:val="24"/>
          <w:szCs w:val="24"/>
        </w:rPr>
        <w:t>ic storage systems in which such</w:t>
      </w:r>
      <w:r w:rsidR="007951EB" w:rsidRPr="00273D24">
        <w:rPr>
          <w:rFonts w:ascii="Times New Roman" w:hAnsi="Times New Roman" w:cs="Times New Roman"/>
          <w:sz w:val="24"/>
          <w:szCs w:val="24"/>
        </w:rPr>
        <w:t xml:space="preserve"> information is maintained</w:t>
      </w:r>
      <w:r w:rsidR="00EC07E1" w:rsidRPr="00273D24">
        <w:rPr>
          <w:rFonts w:ascii="Times New Roman" w:hAnsi="Times New Roman" w:cs="Times New Roman"/>
          <w:sz w:val="24"/>
          <w:szCs w:val="24"/>
        </w:rPr>
        <w:t xml:space="preserve">.  This </w:t>
      </w:r>
      <w:r w:rsidR="00B8604F" w:rsidRPr="00273D24">
        <w:rPr>
          <w:rFonts w:ascii="Times New Roman" w:hAnsi="Times New Roman" w:cs="Times New Roman"/>
          <w:sz w:val="24"/>
          <w:szCs w:val="24"/>
        </w:rPr>
        <w:t>apparent</w:t>
      </w:r>
      <w:r w:rsidR="00EC07E1" w:rsidRPr="00273D24">
        <w:rPr>
          <w:rFonts w:ascii="Times New Roman" w:hAnsi="Times New Roman" w:cs="Times New Roman"/>
          <w:sz w:val="24"/>
          <w:szCs w:val="24"/>
        </w:rPr>
        <w:t xml:space="preserve"> paradox</w:t>
      </w:r>
      <w:r w:rsidR="007951EB" w:rsidRPr="00273D24">
        <w:rPr>
          <w:rFonts w:ascii="Times New Roman" w:hAnsi="Times New Roman" w:cs="Times New Roman"/>
          <w:sz w:val="24"/>
          <w:szCs w:val="24"/>
        </w:rPr>
        <w:t xml:space="preserve"> pose</w:t>
      </w:r>
      <w:r w:rsidR="00EC07E1" w:rsidRPr="00273D24">
        <w:rPr>
          <w:rFonts w:ascii="Times New Roman" w:hAnsi="Times New Roman" w:cs="Times New Roman"/>
          <w:sz w:val="24"/>
          <w:szCs w:val="24"/>
        </w:rPr>
        <w:t xml:space="preserve">s </w:t>
      </w:r>
      <w:r w:rsidR="00EC7693" w:rsidRPr="00273D24">
        <w:rPr>
          <w:rFonts w:ascii="Times New Roman" w:hAnsi="Times New Roman" w:cs="Times New Roman"/>
          <w:sz w:val="24"/>
          <w:szCs w:val="24"/>
        </w:rPr>
        <w:t>challenges in</w:t>
      </w:r>
      <w:r w:rsidR="007951EB" w:rsidRPr="00273D24">
        <w:rPr>
          <w:rFonts w:ascii="Times New Roman" w:hAnsi="Times New Roman" w:cs="Times New Roman"/>
          <w:sz w:val="24"/>
          <w:szCs w:val="24"/>
        </w:rPr>
        <w:t xml:space="preserve"> civil discovery</w:t>
      </w:r>
      <w:r w:rsidR="00EC7693" w:rsidRPr="00273D24">
        <w:rPr>
          <w:rFonts w:ascii="Times New Roman" w:hAnsi="Times New Roman" w:cs="Times New Roman"/>
          <w:sz w:val="24"/>
          <w:szCs w:val="24"/>
        </w:rPr>
        <w:t xml:space="preserve"> and requires </w:t>
      </w:r>
      <w:r w:rsidR="00B22442" w:rsidRPr="00273D24">
        <w:rPr>
          <w:rFonts w:ascii="Times New Roman" w:hAnsi="Times New Roman" w:cs="Times New Roman"/>
          <w:sz w:val="24"/>
          <w:szCs w:val="24"/>
        </w:rPr>
        <w:t xml:space="preserve">practitioners to </w:t>
      </w:r>
      <w:r w:rsidR="00EC7693" w:rsidRPr="00273D24">
        <w:rPr>
          <w:rFonts w:ascii="Times New Roman" w:hAnsi="Times New Roman" w:cs="Times New Roman"/>
          <w:sz w:val="24"/>
          <w:szCs w:val="24"/>
        </w:rPr>
        <w:t>obtain</w:t>
      </w:r>
      <w:r w:rsidR="00B22442" w:rsidRPr="00273D24">
        <w:rPr>
          <w:rFonts w:ascii="Times New Roman" w:hAnsi="Times New Roman" w:cs="Times New Roman"/>
          <w:sz w:val="24"/>
          <w:szCs w:val="24"/>
        </w:rPr>
        <w:t>, at a minimum,</w:t>
      </w:r>
      <w:r w:rsidR="00EC7693" w:rsidRPr="00273D24">
        <w:rPr>
          <w:rFonts w:ascii="Times New Roman" w:hAnsi="Times New Roman" w:cs="Times New Roman"/>
          <w:sz w:val="24"/>
          <w:szCs w:val="24"/>
        </w:rPr>
        <w:t xml:space="preserve"> a general understanding of how ESI is created, managed, and stored</w:t>
      </w:r>
      <w:r w:rsidR="007951EB" w:rsidRPr="00273D24">
        <w:rPr>
          <w:rFonts w:ascii="Times New Roman" w:hAnsi="Times New Roman" w:cs="Times New Roman"/>
          <w:sz w:val="24"/>
          <w:szCs w:val="24"/>
        </w:rPr>
        <w:t>.</w:t>
      </w:r>
      <w:r w:rsidR="00B22442" w:rsidRPr="00273D24">
        <w:rPr>
          <w:rFonts w:ascii="Times New Roman" w:hAnsi="Times New Roman" w:cs="Times New Roman"/>
          <w:sz w:val="24"/>
          <w:szCs w:val="24"/>
        </w:rPr>
        <w:t xml:space="preserve">  Complicating such understanding, however, are</w:t>
      </w:r>
      <w:r w:rsidR="00EC7693" w:rsidRPr="00273D24">
        <w:rPr>
          <w:rFonts w:ascii="Times New Roman" w:hAnsi="Times New Roman" w:cs="Times New Roman"/>
          <w:sz w:val="24"/>
          <w:szCs w:val="24"/>
        </w:rPr>
        <w:t xml:space="preserve"> i</w:t>
      </w:r>
      <w:r w:rsidR="00EE3D43" w:rsidRPr="00273D24">
        <w:rPr>
          <w:rFonts w:ascii="Times New Roman" w:hAnsi="Times New Roman" w:cs="Times New Roman"/>
          <w:sz w:val="24"/>
          <w:szCs w:val="24"/>
        </w:rPr>
        <w:t xml:space="preserve">nherent characteristics of ESI—such as </w:t>
      </w:r>
      <w:r w:rsidR="005C1C7C" w:rsidRPr="00273D24">
        <w:rPr>
          <w:rFonts w:ascii="Times New Roman" w:hAnsi="Times New Roman" w:cs="Times New Roman"/>
          <w:sz w:val="24"/>
          <w:szCs w:val="24"/>
        </w:rPr>
        <w:t>automatic deletion or modification due to</w:t>
      </w:r>
      <w:r w:rsidR="00B22442" w:rsidRPr="00273D24">
        <w:rPr>
          <w:rFonts w:ascii="Times New Roman" w:hAnsi="Times New Roman" w:cs="Times New Roman"/>
          <w:sz w:val="24"/>
          <w:szCs w:val="24"/>
        </w:rPr>
        <w:t xml:space="preserve"> storage constraints—</w:t>
      </w:r>
      <w:r w:rsidR="00EC7693" w:rsidRPr="00273D24">
        <w:rPr>
          <w:rFonts w:ascii="Times New Roman" w:hAnsi="Times New Roman" w:cs="Times New Roman"/>
          <w:sz w:val="24"/>
          <w:szCs w:val="24"/>
        </w:rPr>
        <w:t xml:space="preserve"> </w:t>
      </w:r>
      <w:r w:rsidR="00A5365D" w:rsidRPr="00273D24">
        <w:rPr>
          <w:rFonts w:ascii="Times New Roman" w:hAnsi="Times New Roman" w:cs="Times New Roman"/>
          <w:sz w:val="24"/>
          <w:szCs w:val="24"/>
        </w:rPr>
        <w:t xml:space="preserve">and </w:t>
      </w:r>
      <w:r w:rsidR="00EC7693" w:rsidRPr="00273D24">
        <w:rPr>
          <w:rFonts w:ascii="Times New Roman" w:hAnsi="Times New Roman" w:cs="Times New Roman"/>
          <w:sz w:val="24"/>
          <w:szCs w:val="24"/>
        </w:rPr>
        <w:t>the ever-evolving nature of modern computer technology</w:t>
      </w:r>
      <w:r w:rsidR="00A37659" w:rsidRPr="00273D24">
        <w:rPr>
          <w:rFonts w:ascii="Times New Roman" w:hAnsi="Times New Roman" w:cs="Times New Roman"/>
          <w:sz w:val="24"/>
          <w:szCs w:val="24"/>
        </w:rPr>
        <w:t>.</w:t>
      </w:r>
      <w:r w:rsidR="00EC07E1" w:rsidRPr="00273D24">
        <w:rPr>
          <w:rFonts w:ascii="Times New Roman" w:hAnsi="Times New Roman" w:cs="Times New Roman"/>
          <w:sz w:val="24"/>
          <w:szCs w:val="24"/>
        </w:rPr>
        <w:t xml:space="preserve">  Although safeguards are sometimes implemented to alleviate</w:t>
      </w:r>
      <w:r w:rsidR="00A37659" w:rsidRPr="00273D24">
        <w:rPr>
          <w:rFonts w:ascii="Times New Roman" w:hAnsi="Times New Roman" w:cs="Times New Roman"/>
          <w:sz w:val="24"/>
          <w:szCs w:val="24"/>
        </w:rPr>
        <w:t xml:space="preserve"> these issues, the prudent practitioner must nonetheless take great lengths to ensure compliance with their discovery obligations regarding ESI.</w:t>
      </w:r>
    </w:p>
    <w:p w14:paraId="7CF4B2BB" w14:textId="77777777" w:rsidR="00637EC9" w:rsidRPr="00273D24" w:rsidRDefault="003047A9" w:rsidP="00013AE8">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Federal Rule of Procedure 37(e) is of the utmost importance when analyz</w:t>
      </w:r>
      <w:r w:rsidR="004F7A29" w:rsidRPr="00273D24">
        <w:rPr>
          <w:rFonts w:ascii="Times New Roman" w:hAnsi="Times New Roman" w:cs="Times New Roman"/>
          <w:sz w:val="24"/>
          <w:szCs w:val="24"/>
        </w:rPr>
        <w:t>ing potential</w:t>
      </w:r>
      <w:r w:rsidRPr="00273D24">
        <w:rPr>
          <w:rFonts w:ascii="Times New Roman" w:hAnsi="Times New Roman" w:cs="Times New Roman"/>
          <w:sz w:val="24"/>
          <w:szCs w:val="24"/>
        </w:rPr>
        <w:t xml:space="preserve"> spoliation issues</w:t>
      </w:r>
      <w:r w:rsidR="002B0497" w:rsidRPr="00273D24">
        <w:rPr>
          <w:rFonts w:ascii="Times New Roman" w:hAnsi="Times New Roman" w:cs="Times New Roman"/>
          <w:sz w:val="24"/>
          <w:szCs w:val="24"/>
        </w:rPr>
        <w:t xml:space="preserve"> in the ESI context</w:t>
      </w:r>
      <w:r w:rsidRPr="00273D24">
        <w:rPr>
          <w:rFonts w:ascii="Times New Roman" w:hAnsi="Times New Roman" w:cs="Times New Roman"/>
          <w:sz w:val="24"/>
          <w:szCs w:val="24"/>
        </w:rPr>
        <w:t xml:space="preserve">.  </w:t>
      </w:r>
      <w:r w:rsidR="00652A61" w:rsidRPr="00273D24">
        <w:rPr>
          <w:rFonts w:ascii="Times New Roman" w:hAnsi="Times New Roman" w:cs="Times New Roman"/>
          <w:sz w:val="24"/>
          <w:szCs w:val="24"/>
        </w:rPr>
        <w:t>Since its introduction in 2006, the intent of this rule was to provide a safe harbor for parties who lost or inadvertently deleted ESI.</w:t>
      </w:r>
      <w:r w:rsidR="00652A61" w:rsidRPr="00273D24">
        <w:rPr>
          <w:rStyle w:val="FootnoteReference"/>
          <w:rFonts w:ascii="Times New Roman" w:hAnsi="Times New Roman" w:cs="Times New Roman"/>
          <w:sz w:val="24"/>
          <w:szCs w:val="24"/>
        </w:rPr>
        <w:footnoteReference w:id="79"/>
      </w:r>
      <w:r w:rsidR="002B0497" w:rsidRPr="00273D24">
        <w:rPr>
          <w:rFonts w:ascii="Times New Roman" w:hAnsi="Times New Roman" w:cs="Times New Roman"/>
          <w:sz w:val="24"/>
          <w:szCs w:val="24"/>
        </w:rPr>
        <w:t xml:space="preserve"> </w:t>
      </w:r>
      <w:r w:rsidR="00D14898" w:rsidRPr="00273D24">
        <w:rPr>
          <w:rFonts w:ascii="Times New Roman" w:hAnsi="Times New Roman" w:cs="Times New Roman"/>
          <w:sz w:val="24"/>
          <w:szCs w:val="24"/>
        </w:rPr>
        <w:t xml:space="preserve">The 2015 amendment to this rule </w:t>
      </w:r>
      <w:r w:rsidR="00652A61" w:rsidRPr="00273D24">
        <w:rPr>
          <w:rFonts w:ascii="Times New Roman" w:hAnsi="Times New Roman" w:cs="Times New Roman"/>
          <w:sz w:val="24"/>
          <w:szCs w:val="24"/>
        </w:rPr>
        <w:t xml:space="preserve">clarified this intent </w:t>
      </w:r>
      <w:r w:rsidR="006C5867" w:rsidRPr="00273D24">
        <w:rPr>
          <w:rFonts w:ascii="Times New Roman" w:hAnsi="Times New Roman" w:cs="Times New Roman"/>
          <w:sz w:val="24"/>
          <w:szCs w:val="24"/>
        </w:rPr>
        <w:t>by authorizing</w:t>
      </w:r>
      <w:r w:rsidR="00D14898" w:rsidRPr="00273D24">
        <w:rPr>
          <w:rFonts w:ascii="Times New Roman" w:hAnsi="Times New Roman" w:cs="Times New Roman"/>
          <w:sz w:val="24"/>
          <w:szCs w:val="24"/>
        </w:rPr>
        <w:t xml:space="preserve"> specific measures for remedying a party’s failure to preserve ESI in an attempt to curtail the “significantly different standards for imposing sanctions </w:t>
      </w:r>
      <w:r w:rsidR="00D14898" w:rsidRPr="00273D24">
        <w:rPr>
          <w:rFonts w:ascii="Times New Roman" w:hAnsi="Times New Roman" w:cs="Times New Roman"/>
          <w:sz w:val="24"/>
          <w:szCs w:val="24"/>
        </w:rPr>
        <w:lastRenderedPageBreak/>
        <w:t>or curative measures” that arose under the previous “limited” version of the rule.</w:t>
      </w:r>
      <w:r w:rsidR="00D14898" w:rsidRPr="00273D24">
        <w:rPr>
          <w:rStyle w:val="FootnoteReference"/>
          <w:rFonts w:ascii="Times New Roman" w:hAnsi="Times New Roman" w:cs="Times New Roman"/>
          <w:sz w:val="24"/>
          <w:szCs w:val="24"/>
        </w:rPr>
        <w:footnoteReference w:id="80"/>
      </w:r>
      <w:r w:rsidR="00D14898" w:rsidRPr="00273D24">
        <w:rPr>
          <w:rFonts w:ascii="Times New Roman" w:hAnsi="Times New Roman" w:cs="Times New Roman"/>
          <w:sz w:val="24"/>
          <w:szCs w:val="24"/>
        </w:rPr>
        <w:t xml:space="preserve"> </w:t>
      </w:r>
      <w:r w:rsidR="006C5867" w:rsidRPr="00273D24">
        <w:rPr>
          <w:rFonts w:ascii="Times New Roman" w:hAnsi="Times New Roman" w:cs="Times New Roman"/>
          <w:sz w:val="24"/>
          <w:szCs w:val="24"/>
        </w:rPr>
        <w:t>Importantly, the rule “applies only if the information was lost because the party failed to take reasonable steps to preserve the information.”</w:t>
      </w:r>
      <w:r w:rsidR="006C5867" w:rsidRPr="00273D24">
        <w:rPr>
          <w:rStyle w:val="FootnoteReference"/>
          <w:rFonts w:ascii="Times New Roman" w:hAnsi="Times New Roman" w:cs="Times New Roman"/>
          <w:sz w:val="24"/>
          <w:szCs w:val="24"/>
        </w:rPr>
        <w:footnoteReference w:id="81"/>
      </w:r>
      <w:r w:rsidR="00637EC9" w:rsidRPr="00273D24">
        <w:rPr>
          <w:rFonts w:ascii="Times New Roman" w:hAnsi="Times New Roman" w:cs="Times New Roman"/>
          <w:sz w:val="24"/>
          <w:szCs w:val="24"/>
        </w:rPr>
        <w:t xml:space="preserve"> As with the earlier version of the rule, a party engaging in “routine, good-faith operation” of its ESI systems can be an important factor in determining whether “reasonable steps” were taken to preserve ESI.</w:t>
      </w:r>
      <w:r w:rsidR="00637EC9" w:rsidRPr="00273D24">
        <w:rPr>
          <w:rStyle w:val="FootnoteReference"/>
          <w:rFonts w:ascii="Times New Roman" w:hAnsi="Times New Roman" w:cs="Times New Roman"/>
          <w:sz w:val="24"/>
          <w:szCs w:val="24"/>
        </w:rPr>
        <w:footnoteReference w:id="82"/>
      </w:r>
      <w:r w:rsidR="00637EC9" w:rsidRPr="00273D24">
        <w:rPr>
          <w:rFonts w:ascii="Times New Roman" w:hAnsi="Times New Roman" w:cs="Times New Roman"/>
          <w:sz w:val="24"/>
          <w:szCs w:val="24"/>
        </w:rPr>
        <w:t xml:space="preserve"> </w:t>
      </w:r>
    </w:p>
    <w:p w14:paraId="03708769" w14:textId="2488E770" w:rsidR="00D14898" w:rsidRPr="00273D24" w:rsidRDefault="00303D3A" w:rsidP="00013AE8">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 xml:space="preserve">Rule 37(e) </w:t>
      </w:r>
      <w:r w:rsidR="0006422D" w:rsidRPr="00273D24">
        <w:rPr>
          <w:rFonts w:ascii="Times New Roman" w:hAnsi="Times New Roman" w:cs="Times New Roman"/>
          <w:sz w:val="24"/>
          <w:szCs w:val="24"/>
        </w:rPr>
        <w:t>grants</w:t>
      </w:r>
      <w:r w:rsidRPr="00273D24">
        <w:rPr>
          <w:rFonts w:ascii="Times New Roman" w:hAnsi="Times New Roman" w:cs="Times New Roman"/>
          <w:sz w:val="24"/>
          <w:szCs w:val="24"/>
        </w:rPr>
        <w:t xml:space="preserve"> </w:t>
      </w:r>
      <w:r w:rsidR="0006422D" w:rsidRPr="00273D24">
        <w:rPr>
          <w:rFonts w:ascii="Times New Roman" w:hAnsi="Times New Roman" w:cs="Times New Roman"/>
          <w:sz w:val="24"/>
          <w:szCs w:val="24"/>
        </w:rPr>
        <w:t>a court limited discretion to impose sanctions for ESI spoliation, providing a specific framework a court must apply.</w:t>
      </w:r>
      <w:r w:rsidR="006D75EC" w:rsidRPr="00273D24">
        <w:rPr>
          <w:rStyle w:val="FootnoteReference"/>
          <w:rFonts w:ascii="Times New Roman" w:hAnsi="Times New Roman" w:cs="Times New Roman"/>
          <w:sz w:val="24"/>
          <w:szCs w:val="24"/>
        </w:rPr>
        <w:footnoteReference w:id="83"/>
      </w:r>
      <w:r w:rsidR="00BB0112" w:rsidRPr="00273D24">
        <w:rPr>
          <w:rFonts w:ascii="Times New Roman" w:hAnsi="Times New Roman" w:cs="Times New Roman"/>
          <w:sz w:val="24"/>
          <w:szCs w:val="24"/>
        </w:rPr>
        <w:t xml:space="preserve"> </w:t>
      </w:r>
      <w:r w:rsidR="006D75EC" w:rsidRPr="00273D24">
        <w:rPr>
          <w:rFonts w:ascii="Times New Roman" w:hAnsi="Times New Roman" w:cs="Times New Roman"/>
          <w:sz w:val="24"/>
          <w:szCs w:val="24"/>
        </w:rPr>
        <w:t xml:space="preserve">First, </w:t>
      </w:r>
      <w:r w:rsidR="00BB0112" w:rsidRPr="00273D24">
        <w:rPr>
          <w:rFonts w:ascii="Times New Roman" w:hAnsi="Times New Roman" w:cs="Times New Roman"/>
          <w:sz w:val="24"/>
          <w:szCs w:val="24"/>
        </w:rPr>
        <w:t xml:space="preserve">a court </w:t>
      </w:r>
      <w:r w:rsidR="005B4135" w:rsidRPr="00273D24">
        <w:rPr>
          <w:rFonts w:ascii="Times New Roman" w:hAnsi="Times New Roman" w:cs="Times New Roman"/>
          <w:sz w:val="24"/>
          <w:szCs w:val="24"/>
        </w:rPr>
        <w:t>must find each of four conditions exist: (1) the ESI should have been preserved, (2) the ESI is lost or destroyed, (3) the party failed to take reasonable steps to preserve the ESI, and (4) the ESI cannot be restored or replaced through additional discovery.</w:t>
      </w:r>
      <w:r w:rsidR="005B4135" w:rsidRPr="00273D24">
        <w:rPr>
          <w:rStyle w:val="FootnoteReference"/>
          <w:rFonts w:ascii="Times New Roman" w:hAnsi="Times New Roman" w:cs="Times New Roman"/>
          <w:sz w:val="24"/>
          <w:szCs w:val="24"/>
        </w:rPr>
        <w:footnoteReference w:id="84"/>
      </w:r>
      <w:r w:rsidR="005B4135" w:rsidRPr="00273D24">
        <w:rPr>
          <w:rFonts w:ascii="Times New Roman" w:hAnsi="Times New Roman" w:cs="Times New Roman"/>
          <w:sz w:val="24"/>
          <w:szCs w:val="24"/>
        </w:rPr>
        <w:t xml:space="preserve"> If all four conditions are met, a court then must analyze whether any “prejudice” exists under subsection (e)(1) or</w:t>
      </w:r>
      <w:r w:rsidR="00F4356D" w:rsidRPr="00273D24">
        <w:rPr>
          <w:rFonts w:ascii="Times New Roman" w:hAnsi="Times New Roman" w:cs="Times New Roman"/>
          <w:sz w:val="24"/>
          <w:szCs w:val="24"/>
        </w:rPr>
        <w:t xml:space="preserve"> an “intent to deprive” exists under subsection (e)(2).</w:t>
      </w:r>
      <w:r w:rsidR="00F4356D" w:rsidRPr="00273D24">
        <w:rPr>
          <w:rStyle w:val="FootnoteReference"/>
          <w:rFonts w:ascii="Times New Roman" w:hAnsi="Times New Roman" w:cs="Times New Roman"/>
          <w:sz w:val="24"/>
          <w:szCs w:val="24"/>
        </w:rPr>
        <w:footnoteReference w:id="85"/>
      </w:r>
      <w:r w:rsidR="00F4356D" w:rsidRPr="00273D24">
        <w:rPr>
          <w:rFonts w:ascii="Times New Roman" w:hAnsi="Times New Roman" w:cs="Times New Roman"/>
          <w:sz w:val="24"/>
          <w:szCs w:val="24"/>
        </w:rPr>
        <w:t xml:space="preserve"> The most drastic sanctions such as an adverse inference, dismissal, or default judgment may be imposed only on a finding of “intent to deprive.”</w:t>
      </w:r>
      <w:r w:rsidR="00F4356D" w:rsidRPr="00273D24">
        <w:rPr>
          <w:rStyle w:val="FootnoteReference"/>
          <w:rFonts w:ascii="Times New Roman" w:hAnsi="Times New Roman" w:cs="Times New Roman"/>
          <w:sz w:val="24"/>
          <w:szCs w:val="24"/>
        </w:rPr>
        <w:footnoteReference w:id="86"/>
      </w:r>
      <w:r w:rsidR="00F4356D" w:rsidRPr="00273D24">
        <w:rPr>
          <w:rFonts w:ascii="Times New Roman" w:hAnsi="Times New Roman" w:cs="Times New Roman"/>
          <w:sz w:val="24"/>
          <w:szCs w:val="24"/>
        </w:rPr>
        <w:t xml:space="preserve"> Absent an intent to deprive, and subject to a finding of prejudice, a court </w:t>
      </w:r>
      <w:r w:rsidR="00BB0112" w:rsidRPr="00273D24">
        <w:rPr>
          <w:rFonts w:ascii="Times New Roman" w:hAnsi="Times New Roman" w:cs="Times New Roman"/>
          <w:sz w:val="24"/>
          <w:szCs w:val="24"/>
        </w:rPr>
        <w:t xml:space="preserve">may order </w:t>
      </w:r>
      <w:r w:rsidR="00F4356D" w:rsidRPr="00273D24">
        <w:rPr>
          <w:rFonts w:ascii="Times New Roman" w:hAnsi="Times New Roman" w:cs="Times New Roman"/>
          <w:sz w:val="24"/>
          <w:szCs w:val="24"/>
        </w:rPr>
        <w:t xml:space="preserve">only </w:t>
      </w:r>
      <w:r w:rsidR="00BB0112" w:rsidRPr="00273D24">
        <w:rPr>
          <w:rFonts w:ascii="Times New Roman" w:hAnsi="Times New Roman" w:cs="Times New Roman"/>
          <w:sz w:val="24"/>
          <w:szCs w:val="24"/>
        </w:rPr>
        <w:t xml:space="preserve">measures “no greater than necessary to cure” </w:t>
      </w:r>
      <w:r w:rsidR="00F4356D" w:rsidRPr="00273D24">
        <w:rPr>
          <w:rFonts w:ascii="Times New Roman" w:hAnsi="Times New Roman" w:cs="Times New Roman"/>
          <w:sz w:val="24"/>
          <w:szCs w:val="24"/>
        </w:rPr>
        <w:t>the prejudice</w:t>
      </w:r>
      <w:r w:rsidR="00BB0112" w:rsidRPr="00273D24">
        <w:rPr>
          <w:rFonts w:ascii="Times New Roman" w:hAnsi="Times New Roman" w:cs="Times New Roman"/>
          <w:sz w:val="24"/>
          <w:szCs w:val="24"/>
        </w:rPr>
        <w:t>.</w:t>
      </w:r>
      <w:r w:rsidR="00BB0112" w:rsidRPr="00273D24">
        <w:rPr>
          <w:rStyle w:val="FootnoteReference"/>
          <w:rFonts w:ascii="Times New Roman" w:hAnsi="Times New Roman" w:cs="Times New Roman"/>
          <w:sz w:val="24"/>
          <w:szCs w:val="24"/>
        </w:rPr>
        <w:footnoteReference w:id="87"/>
      </w:r>
      <w:r w:rsidR="00FF6B61" w:rsidRPr="00273D24">
        <w:rPr>
          <w:rFonts w:ascii="Times New Roman" w:hAnsi="Times New Roman" w:cs="Times New Roman"/>
          <w:sz w:val="24"/>
          <w:szCs w:val="24"/>
        </w:rPr>
        <w:t xml:space="preserve"> </w:t>
      </w:r>
      <w:r w:rsidR="00F4356D" w:rsidRPr="00273D24">
        <w:rPr>
          <w:rFonts w:ascii="Times New Roman" w:hAnsi="Times New Roman" w:cs="Times New Roman"/>
          <w:sz w:val="24"/>
          <w:szCs w:val="24"/>
        </w:rPr>
        <w:t xml:space="preserve">Given the severity of sanctions available under subsection (e)(2), </w:t>
      </w:r>
      <w:r w:rsidR="00DB7A5F" w:rsidRPr="00273D24">
        <w:rPr>
          <w:rFonts w:ascii="Times New Roman" w:hAnsi="Times New Roman" w:cs="Times New Roman"/>
          <w:sz w:val="24"/>
          <w:szCs w:val="24"/>
        </w:rPr>
        <w:t>it is important to ex</w:t>
      </w:r>
      <w:r w:rsidR="0005534A" w:rsidRPr="00273D24">
        <w:rPr>
          <w:rFonts w:ascii="Times New Roman" w:hAnsi="Times New Roman" w:cs="Times New Roman"/>
          <w:sz w:val="24"/>
          <w:szCs w:val="24"/>
        </w:rPr>
        <w:t xml:space="preserve">amine </w:t>
      </w:r>
      <w:r w:rsidR="00C43ED9" w:rsidRPr="00273D24">
        <w:rPr>
          <w:rFonts w:ascii="Times New Roman" w:hAnsi="Times New Roman" w:cs="Times New Roman"/>
          <w:sz w:val="24"/>
          <w:szCs w:val="24"/>
        </w:rPr>
        <w:t xml:space="preserve">conduct </w:t>
      </w:r>
      <w:r w:rsidR="00F4356D" w:rsidRPr="00273D24">
        <w:rPr>
          <w:rFonts w:ascii="Times New Roman" w:hAnsi="Times New Roman" w:cs="Times New Roman"/>
          <w:sz w:val="24"/>
          <w:szCs w:val="24"/>
        </w:rPr>
        <w:t>the framework courts have used to determine if a party acted with intent to deprive</w:t>
      </w:r>
      <w:r w:rsidR="00D14898" w:rsidRPr="00273D24">
        <w:rPr>
          <w:rFonts w:ascii="Times New Roman" w:hAnsi="Times New Roman" w:cs="Times New Roman"/>
          <w:sz w:val="24"/>
          <w:szCs w:val="24"/>
        </w:rPr>
        <w:t>.</w:t>
      </w:r>
    </w:p>
    <w:p w14:paraId="33237E18" w14:textId="47F799DA" w:rsidR="00F4356D" w:rsidRPr="00273D24" w:rsidRDefault="000614F4" w:rsidP="00013AE8">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lastRenderedPageBreak/>
        <w:t xml:space="preserve">Some courts have </w:t>
      </w:r>
      <w:r w:rsidR="002D5D87" w:rsidRPr="00273D24">
        <w:rPr>
          <w:rFonts w:ascii="Times New Roman" w:hAnsi="Times New Roman" w:cs="Times New Roman"/>
          <w:sz w:val="24"/>
          <w:szCs w:val="24"/>
        </w:rPr>
        <w:t>used prior case law regarding “bad faith” standards for imposing sanctions when interpreting “intent to deprive.”</w:t>
      </w:r>
      <w:r w:rsidR="002D5D87" w:rsidRPr="00273D24">
        <w:rPr>
          <w:rStyle w:val="FootnoteReference"/>
          <w:rFonts w:ascii="Times New Roman" w:hAnsi="Times New Roman" w:cs="Times New Roman"/>
          <w:sz w:val="24"/>
          <w:szCs w:val="24"/>
        </w:rPr>
        <w:footnoteReference w:id="88"/>
      </w:r>
      <w:r w:rsidR="002D5D87" w:rsidRPr="00273D24">
        <w:rPr>
          <w:rFonts w:ascii="Times New Roman" w:hAnsi="Times New Roman" w:cs="Times New Roman"/>
          <w:sz w:val="24"/>
          <w:szCs w:val="24"/>
        </w:rPr>
        <w:t xml:space="preserve"> Under such a standard, the lost or destroyed ESI must have been “material” to a claim at issue, the spoliating party affirmatively caused the loss or destruction, the party knew or should have known of its duty to preserve the evidence, and the party cannot “credibly explain” the loss or destruction as not involving bad faith.</w:t>
      </w:r>
      <w:r w:rsidR="002D5D87" w:rsidRPr="00273D24">
        <w:rPr>
          <w:rStyle w:val="FootnoteReference"/>
          <w:rFonts w:ascii="Times New Roman" w:hAnsi="Times New Roman" w:cs="Times New Roman"/>
          <w:sz w:val="24"/>
          <w:szCs w:val="24"/>
        </w:rPr>
        <w:footnoteReference w:id="89"/>
      </w:r>
      <w:r w:rsidR="002D5D87" w:rsidRPr="00273D24">
        <w:rPr>
          <w:rFonts w:ascii="Times New Roman" w:hAnsi="Times New Roman" w:cs="Times New Roman"/>
          <w:sz w:val="24"/>
          <w:szCs w:val="24"/>
        </w:rPr>
        <w:t xml:space="preserve"> While a high bar, courts can consider circumstantial evidence to reach a determination of “intent to deprive. For instance, in </w:t>
      </w:r>
      <w:r w:rsidR="002D5D87" w:rsidRPr="00273D24">
        <w:rPr>
          <w:rFonts w:ascii="Times New Roman" w:hAnsi="Times New Roman" w:cs="Times New Roman"/>
          <w:sz w:val="24"/>
          <w:szCs w:val="24"/>
          <w:u w:val="single"/>
        </w:rPr>
        <w:t>Alabama Aircraft Industries, Inc. v. Boeing Company</w:t>
      </w:r>
      <w:r w:rsidR="002D5D87" w:rsidRPr="00273D24">
        <w:rPr>
          <w:rFonts w:ascii="Times New Roman" w:hAnsi="Times New Roman" w:cs="Times New Roman"/>
          <w:sz w:val="24"/>
          <w:szCs w:val="24"/>
        </w:rPr>
        <w:t>,</w:t>
      </w:r>
      <w:r w:rsidR="002D5D87" w:rsidRPr="00273D24">
        <w:rPr>
          <w:rStyle w:val="FootnoteReference"/>
          <w:rFonts w:ascii="Times New Roman" w:hAnsi="Times New Roman" w:cs="Times New Roman"/>
          <w:sz w:val="24"/>
          <w:szCs w:val="24"/>
        </w:rPr>
        <w:footnoteReference w:id="90"/>
      </w:r>
      <w:r w:rsidR="002D5D87" w:rsidRPr="00273D24">
        <w:rPr>
          <w:rFonts w:ascii="Times New Roman" w:hAnsi="Times New Roman" w:cs="Times New Roman"/>
          <w:sz w:val="24"/>
          <w:szCs w:val="24"/>
        </w:rPr>
        <w:t xml:space="preserve"> while finding no </w:t>
      </w:r>
      <w:r w:rsidR="002D5D87" w:rsidRPr="00273D24">
        <w:rPr>
          <w:rFonts w:ascii="Times New Roman" w:hAnsi="Times New Roman" w:cs="Times New Roman"/>
          <w:i/>
          <w:iCs/>
          <w:sz w:val="24"/>
          <w:szCs w:val="24"/>
        </w:rPr>
        <w:t>direct</w:t>
      </w:r>
      <w:r w:rsidR="002D5D87" w:rsidRPr="00273D24">
        <w:rPr>
          <w:rFonts w:ascii="Times New Roman" w:hAnsi="Times New Roman" w:cs="Times New Roman"/>
          <w:sz w:val="24"/>
          <w:szCs w:val="24"/>
        </w:rPr>
        <w:t xml:space="preserve"> evidence of an intent to deprive, the court found sufficient circumstantial evidence of intent to deprive where </w:t>
      </w:r>
      <w:r w:rsidR="006B3A43" w:rsidRPr="00273D24">
        <w:rPr>
          <w:rFonts w:ascii="Times New Roman" w:hAnsi="Times New Roman" w:cs="Times New Roman"/>
          <w:sz w:val="24"/>
          <w:szCs w:val="24"/>
        </w:rPr>
        <w:t>Boeing employees failed to comply a corporate ESI preservation policy as to information on one computer while appropriately complying with the policy on other computers.</w:t>
      </w:r>
      <w:r w:rsidR="006B3A43" w:rsidRPr="00273D24">
        <w:rPr>
          <w:rStyle w:val="FootnoteReference"/>
          <w:rFonts w:ascii="Times New Roman" w:hAnsi="Times New Roman" w:cs="Times New Roman"/>
          <w:sz w:val="24"/>
          <w:szCs w:val="24"/>
        </w:rPr>
        <w:footnoteReference w:id="91"/>
      </w:r>
      <w:r w:rsidR="006B3A43" w:rsidRPr="00273D24">
        <w:rPr>
          <w:rFonts w:ascii="Times New Roman" w:hAnsi="Times New Roman" w:cs="Times New Roman"/>
          <w:sz w:val="24"/>
          <w:szCs w:val="24"/>
        </w:rPr>
        <w:t xml:space="preserve"> Such “unexplained, blatantly irresponsible behavior” in the face of a known duty to preserve ESI warranted the giving of an adverse inference jury instruction.</w:t>
      </w:r>
      <w:r w:rsidR="006B3A43" w:rsidRPr="00273D24">
        <w:rPr>
          <w:rStyle w:val="FootnoteReference"/>
          <w:rFonts w:ascii="Times New Roman" w:hAnsi="Times New Roman" w:cs="Times New Roman"/>
          <w:sz w:val="24"/>
          <w:szCs w:val="24"/>
        </w:rPr>
        <w:footnoteReference w:id="92"/>
      </w:r>
      <w:r w:rsidR="006B3A43" w:rsidRPr="00273D24">
        <w:rPr>
          <w:rFonts w:ascii="Times New Roman" w:hAnsi="Times New Roman" w:cs="Times New Roman"/>
          <w:sz w:val="24"/>
          <w:szCs w:val="24"/>
        </w:rPr>
        <w:t xml:space="preserve"> Courts, however, have been reluctant to impose severe sanctions when circumstantial evidence is subject to more than one interpretation.</w:t>
      </w:r>
      <w:r w:rsidR="006B3A43" w:rsidRPr="00273D24">
        <w:rPr>
          <w:rStyle w:val="FootnoteReference"/>
          <w:rFonts w:ascii="Times New Roman" w:hAnsi="Times New Roman" w:cs="Times New Roman"/>
          <w:sz w:val="24"/>
          <w:szCs w:val="24"/>
        </w:rPr>
        <w:footnoteReference w:id="93"/>
      </w:r>
      <w:r w:rsidR="006B3A43" w:rsidRPr="00273D24">
        <w:rPr>
          <w:rFonts w:ascii="Times New Roman" w:hAnsi="Times New Roman" w:cs="Times New Roman"/>
          <w:sz w:val="24"/>
          <w:szCs w:val="24"/>
        </w:rPr>
        <w:t xml:space="preserve"> Ultimately, a party should take action to ensure an appropriate protocol </w:t>
      </w:r>
      <w:r w:rsidR="00D82905" w:rsidRPr="00273D24">
        <w:rPr>
          <w:rFonts w:ascii="Times New Roman" w:hAnsi="Times New Roman" w:cs="Times New Roman"/>
          <w:sz w:val="24"/>
          <w:szCs w:val="24"/>
        </w:rPr>
        <w:t xml:space="preserve">is put in place as soon as the preservation duty arises and that the protocol is uniformly implemented to dispel any appearances of impropriety. If properly implemented, a party should have cover to avoid the most severe sanctions available under Rule 37(e). </w:t>
      </w:r>
      <w:r w:rsidR="006B3A43" w:rsidRPr="00273D24">
        <w:rPr>
          <w:rFonts w:ascii="Times New Roman" w:hAnsi="Times New Roman" w:cs="Times New Roman"/>
          <w:sz w:val="24"/>
          <w:szCs w:val="24"/>
        </w:rPr>
        <w:t xml:space="preserve"> </w:t>
      </w:r>
    </w:p>
    <w:p w14:paraId="37612F8E" w14:textId="35A87C55" w:rsidR="00CC5884" w:rsidRPr="00273D24" w:rsidRDefault="006C4D88" w:rsidP="00996DDE">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 xml:space="preserve">The availability </w:t>
      </w:r>
      <w:r w:rsidR="0002551E" w:rsidRPr="00273D24">
        <w:rPr>
          <w:rFonts w:ascii="Times New Roman" w:hAnsi="Times New Roman" w:cs="Times New Roman"/>
          <w:sz w:val="24"/>
          <w:szCs w:val="24"/>
        </w:rPr>
        <w:t>of these sanctions</w:t>
      </w:r>
      <w:r w:rsidR="002B0497" w:rsidRPr="00273D24">
        <w:rPr>
          <w:rFonts w:ascii="Times New Roman" w:hAnsi="Times New Roman" w:cs="Times New Roman"/>
          <w:sz w:val="24"/>
          <w:szCs w:val="24"/>
        </w:rPr>
        <w:t xml:space="preserve"> </w:t>
      </w:r>
      <w:r w:rsidR="00D85A16" w:rsidRPr="00273D24">
        <w:rPr>
          <w:rFonts w:ascii="Times New Roman" w:hAnsi="Times New Roman" w:cs="Times New Roman"/>
          <w:sz w:val="24"/>
          <w:szCs w:val="24"/>
        </w:rPr>
        <w:t>is</w:t>
      </w:r>
      <w:r w:rsidR="002B0497" w:rsidRPr="00273D24">
        <w:rPr>
          <w:rFonts w:ascii="Times New Roman" w:hAnsi="Times New Roman" w:cs="Times New Roman"/>
          <w:sz w:val="24"/>
          <w:szCs w:val="24"/>
        </w:rPr>
        <w:t xml:space="preserve"> also </w:t>
      </w:r>
      <w:r w:rsidR="00897F8B" w:rsidRPr="00273D24">
        <w:rPr>
          <w:rFonts w:ascii="Times New Roman" w:hAnsi="Times New Roman" w:cs="Times New Roman"/>
          <w:sz w:val="24"/>
          <w:szCs w:val="24"/>
        </w:rPr>
        <w:t xml:space="preserve">limited by </w:t>
      </w:r>
      <w:r w:rsidR="009322A0" w:rsidRPr="00273D24">
        <w:rPr>
          <w:rFonts w:ascii="Times New Roman" w:hAnsi="Times New Roman" w:cs="Times New Roman"/>
          <w:sz w:val="24"/>
          <w:szCs w:val="24"/>
        </w:rPr>
        <w:t xml:space="preserve">proportionality considerations in electronic discovery.  Proportionality, in the context of electronic discovery, is set forth </w:t>
      </w:r>
      <w:r w:rsidR="00985183" w:rsidRPr="00273D24">
        <w:rPr>
          <w:rFonts w:ascii="Times New Roman" w:hAnsi="Times New Roman" w:cs="Times New Roman"/>
          <w:sz w:val="24"/>
          <w:szCs w:val="24"/>
        </w:rPr>
        <w:t xml:space="preserve">in </w:t>
      </w:r>
      <w:r w:rsidR="009322A0" w:rsidRPr="00273D24">
        <w:rPr>
          <w:rFonts w:ascii="Times New Roman" w:hAnsi="Times New Roman" w:cs="Times New Roman"/>
          <w:sz w:val="24"/>
          <w:szCs w:val="24"/>
        </w:rPr>
        <w:lastRenderedPageBreak/>
        <w:t>Federal Rule of Procedure Rule 26</w:t>
      </w:r>
      <w:r w:rsidR="00AA01D9" w:rsidRPr="00273D24">
        <w:rPr>
          <w:rFonts w:ascii="Times New Roman" w:hAnsi="Times New Roman" w:cs="Times New Roman"/>
          <w:sz w:val="24"/>
          <w:szCs w:val="24"/>
        </w:rPr>
        <w:t xml:space="preserve">(b)(2)(B), which states that a “party need not provide discovery of electronically stored information </w:t>
      </w:r>
      <w:r w:rsidR="00985183" w:rsidRPr="00273D24">
        <w:rPr>
          <w:rFonts w:ascii="Times New Roman" w:hAnsi="Times New Roman" w:cs="Times New Roman"/>
          <w:sz w:val="24"/>
          <w:szCs w:val="24"/>
        </w:rPr>
        <w:t>f</w:t>
      </w:r>
      <w:r w:rsidR="00AA01D9" w:rsidRPr="00273D24">
        <w:rPr>
          <w:rFonts w:ascii="Times New Roman" w:hAnsi="Times New Roman" w:cs="Times New Roman"/>
          <w:sz w:val="24"/>
          <w:szCs w:val="24"/>
        </w:rPr>
        <w:t>rom sources that the party identifies as not reasonably accessible because of undue burden or cost.”</w:t>
      </w:r>
      <w:r w:rsidR="00AA01D9" w:rsidRPr="00273D24">
        <w:rPr>
          <w:rStyle w:val="FootnoteReference"/>
          <w:rFonts w:ascii="Times New Roman" w:hAnsi="Times New Roman" w:cs="Times New Roman"/>
          <w:sz w:val="24"/>
          <w:szCs w:val="24"/>
        </w:rPr>
        <w:footnoteReference w:id="94"/>
      </w:r>
      <w:r w:rsidR="00A631E7" w:rsidRPr="00273D24">
        <w:rPr>
          <w:rFonts w:ascii="Times New Roman" w:hAnsi="Times New Roman" w:cs="Times New Roman"/>
          <w:sz w:val="24"/>
          <w:szCs w:val="24"/>
        </w:rPr>
        <w:t xml:space="preserve">  This so</w:t>
      </w:r>
      <w:r w:rsidR="00985183" w:rsidRPr="00273D24">
        <w:rPr>
          <w:rFonts w:ascii="Times New Roman" w:hAnsi="Times New Roman" w:cs="Times New Roman"/>
          <w:sz w:val="24"/>
          <w:szCs w:val="24"/>
        </w:rPr>
        <w:t>-</w:t>
      </w:r>
      <w:r w:rsidR="00A631E7" w:rsidRPr="00273D24">
        <w:rPr>
          <w:rFonts w:ascii="Times New Roman" w:hAnsi="Times New Roman" w:cs="Times New Roman"/>
          <w:sz w:val="24"/>
          <w:szCs w:val="24"/>
        </w:rPr>
        <w:t xml:space="preserve">called “proportionality test” contained </w:t>
      </w:r>
      <w:r w:rsidR="00985183" w:rsidRPr="00273D24">
        <w:rPr>
          <w:rFonts w:ascii="Times New Roman" w:hAnsi="Times New Roman" w:cs="Times New Roman"/>
          <w:sz w:val="24"/>
          <w:szCs w:val="24"/>
        </w:rPr>
        <w:t xml:space="preserve">within </w:t>
      </w:r>
      <w:r w:rsidR="00A631E7" w:rsidRPr="00273D24">
        <w:rPr>
          <w:rFonts w:ascii="Times New Roman" w:hAnsi="Times New Roman" w:cs="Times New Roman"/>
          <w:sz w:val="24"/>
          <w:szCs w:val="24"/>
        </w:rPr>
        <w:t>Rule 26 has been applied to “limit discovery if it [is] determined the burden of the discovery outweigh[s] its benefit.”</w:t>
      </w:r>
      <w:r w:rsidR="00A631E7" w:rsidRPr="00273D24">
        <w:rPr>
          <w:rStyle w:val="FootnoteReference"/>
          <w:rFonts w:ascii="Times New Roman" w:hAnsi="Times New Roman" w:cs="Times New Roman"/>
          <w:sz w:val="24"/>
          <w:szCs w:val="24"/>
        </w:rPr>
        <w:footnoteReference w:id="95"/>
      </w:r>
      <w:r w:rsidR="00501D4D" w:rsidRPr="00273D24">
        <w:rPr>
          <w:rFonts w:ascii="Times New Roman" w:hAnsi="Times New Roman" w:cs="Times New Roman"/>
          <w:sz w:val="24"/>
          <w:szCs w:val="24"/>
        </w:rPr>
        <w:t xml:space="preserve">  In interpreting the limitations imposed by it, the Sedona Confer</w:t>
      </w:r>
      <w:r w:rsidR="0088022F" w:rsidRPr="00273D24">
        <w:rPr>
          <w:rFonts w:ascii="Times New Roman" w:hAnsi="Times New Roman" w:cs="Times New Roman"/>
          <w:sz w:val="24"/>
          <w:szCs w:val="24"/>
        </w:rPr>
        <w:t>ence on Electronic D</w:t>
      </w:r>
      <w:r w:rsidR="00501D4D" w:rsidRPr="00273D24">
        <w:rPr>
          <w:rFonts w:ascii="Times New Roman" w:hAnsi="Times New Roman" w:cs="Times New Roman"/>
          <w:sz w:val="24"/>
          <w:szCs w:val="24"/>
        </w:rPr>
        <w:t>iscovery opined that Rule 26(b)(2)(C) provides a court with “flexibility and discretion to ensure that the scope and duration of discovery is reasonably proportional to the value of the requested information, the needs of the case, and the parties’ resources.”</w:t>
      </w:r>
      <w:r w:rsidR="00501D4D" w:rsidRPr="00273D24">
        <w:rPr>
          <w:rStyle w:val="FootnoteReference"/>
          <w:rFonts w:ascii="Times New Roman" w:hAnsi="Times New Roman" w:cs="Times New Roman"/>
          <w:sz w:val="24"/>
          <w:szCs w:val="24"/>
        </w:rPr>
        <w:footnoteReference w:id="96"/>
      </w:r>
      <w:r w:rsidR="00A11BDE" w:rsidRPr="00273D24">
        <w:rPr>
          <w:rFonts w:ascii="Times New Roman" w:hAnsi="Times New Roman" w:cs="Times New Roman"/>
          <w:sz w:val="24"/>
          <w:szCs w:val="24"/>
        </w:rPr>
        <w:t xml:space="preserve">  While the Sedona Conference recognized that courts have not always correctly applied this proportionality rule, it emphasized that “in the electronic era, it has become increasing important for courts </w:t>
      </w:r>
      <w:r w:rsidR="00A11BDE" w:rsidRPr="00273D24">
        <w:rPr>
          <w:rFonts w:ascii="Times New Roman" w:hAnsi="Times New Roman" w:cs="Times New Roman"/>
          <w:i/>
          <w:sz w:val="24"/>
          <w:szCs w:val="24"/>
        </w:rPr>
        <w:t xml:space="preserve">and </w:t>
      </w:r>
      <w:r w:rsidR="00A11BDE" w:rsidRPr="00273D24">
        <w:rPr>
          <w:rFonts w:ascii="Times New Roman" w:hAnsi="Times New Roman" w:cs="Times New Roman"/>
          <w:sz w:val="24"/>
          <w:szCs w:val="24"/>
        </w:rPr>
        <w:t>parties to apply the proportionality doctrine to manage the large volume of ESI and associated expenses now typical in litigation.”</w:t>
      </w:r>
      <w:r w:rsidR="00A11BDE" w:rsidRPr="00273D24">
        <w:rPr>
          <w:rStyle w:val="FootnoteReference"/>
          <w:rFonts w:ascii="Times New Roman" w:hAnsi="Times New Roman" w:cs="Times New Roman"/>
          <w:sz w:val="24"/>
          <w:szCs w:val="24"/>
        </w:rPr>
        <w:footnoteReference w:id="97"/>
      </w:r>
      <w:r w:rsidR="00A11BDE" w:rsidRPr="00273D24">
        <w:rPr>
          <w:rFonts w:ascii="Times New Roman" w:hAnsi="Times New Roman" w:cs="Times New Roman"/>
          <w:sz w:val="24"/>
          <w:szCs w:val="24"/>
        </w:rPr>
        <w:t xml:space="preserve">  Other observers, in supporting th</w:t>
      </w:r>
      <w:r w:rsidR="00F7086D" w:rsidRPr="00273D24">
        <w:rPr>
          <w:rFonts w:ascii="Times New Roman" w:hAnsi="Times New Roman" w:cs="Times New Roman"/>
          <w:sz w:val="24"/>
          <w:szCs w:val="24"/>
        </w:rPr>
        <w:t>is</w:t>
      </w:r>
      <w:r w:rsidR="00A11BDE" w:rsidRPr="00273D24">
        <w:rPr>
          <w:rFonts w:ascii="Times New Roman" w:hAnsi="Times New Roman" w:cs="Times New Roman"/>
          <w:sz w:val="24"/>
          <w:szCs w:val="24"/>
        </w:rPr>
        <w:t xml:space="preserve"> principle</w:t>
      </w:r>
      <w:r w:rsidR="00F7086D" w:rsidRPr="00273D24">
        <w:rPr>
          <w:rFonts w:ascii="Times New Roman" w:hAnsi="Times New Roman" w:cs="Times New Roman"/>
          <w:sz w:val="24"/>
          <w:szCs w:val="24"/>
        </w:rPr>
        <w:t>, have asserted that “the greatest value of proportionality is that it create</w:t>
      </w:r>
      <w:r w:rsidR="0061057F" w:rsidRPr="00273D24">
        <w:rPr>
          <w:rFonts w:ascii="Times New Roman" w:hAnsi="Times New Roman" w:cs="Times New Roman"/>
          <w:sz w:val="24"/>
          <w:szCs w:val="24"/>
        </w:rPr>
        <w:t>s</w:t>
      </w:r>
      <w:r w:rsidR="00F7086D" w:rsidRPr="00273D24">
        <w:rPr>
          <w:rFonts w:ascii="Times New Roman" w:hAnsi="Times New Roman" w:cs="Times New Roman"/>
          <w:sz w:val="24"/>
          <w:szCs w:val="24"/>
        </w:rPr>
        <w:t xml:space="preserve"> a mindset in the court and litigants that discovery needs to be focused on the real issues in the case and that cost is a consideration.”</w:t>
      </w:r>
      <w:r w:rsidR="00F7086D" w:rsidRPr="00273D24">
        <w:rPr>
          <w:rStyle w:val="FootnoteReference"/>
          <w:rFonts w:ascii="Times New Roman" w:hAnsi="Times New Roman" w:cs="Times New Roman"/>
          <w:sz w:val="24"/>
          <w:szCs w:val="24"/>
        </w:rPr>
        <w:footnoteReference w:id="98"/>
      </w:r>
      <w:r w:rsidR="006A5923" w:rsidRPr="00273D24">
        <w:rPr>
          <w:rFonts w:ascii="Times New Roman" w:hAnsi="Times New Roman" w:cs="Times New Roman"/>
          <w:sz w:val="24"/>
          <w:szCs w:val="24"/>
        </w:rPr>
        <w:t xml:space="preserve">  Thus, the prudent practitioner should become well-versed </w:t>
      </w:r>
      <w:r w:rsidR="00EC6B97" w:rsidRPr="00273D24">
        <w:rPr>
          <w:rFonts w:ascii="Times New Roman" w:hAnsi="Times New Roman" w:cs="Times New Roman"/>
          <w:sz w:val="24"/>
          <w:szCs w:val="24"/>
        </w:rPr>
        <w:t xml:space="preserve">in the concept </w:t>
      </w:r>
      <w:r w:rsidR="006A5923" w:rsidRPr="00273D24">
        <w:rPr>
          <w:rFonts w:ascii="Times New Roman" w:hAnsi="Times New Roman" w:cs="Times New Roman"/>
          <w:sz w:val="24"/>
          <w:szCs w:val="24"/>
        </w:rPr>
        <w:t xml:space="preserve">of proportionality </w:t>
      </w:r>
      <w:r w:rsidR="00EC6B97" w:rsidRPr="00273D24">
        <w:rPr>
          <w:rFonts w:ascii="Times New Roman" w:hAnsi="Times New Roman" w:cs="Times New Roman"/>
          <w:sz w:val="24"/>
          <w:szCs w:val="24"/>
        </w:rPr>
        <w:t xml:space="preserve">in order </w:t>
      </w:r>
      <w:r w:rsidR="006A5923" w:rsidRPr="00273D24">
        <w:rPr>
          <w:rFonts w:ascii="Times New Roman" w:hAnsi="Times New Roman" w:cs="Times New Roman"/>
          <w:sz w:val="24"/>
          <w:szCs w:val="24"/>
        </w:rPr>
        <w:t xml:space="preserve">to protect </w:t>
      </w:r>
      <w:r w:rsidR="00EC6B97" w:rsidRPr="00273D24">
        <w:rPr>
          <w:rFonts w:ascii="Times New Roman" w:hAnsi="Times New Roman" w:cs="Times New Roman"/>
          <w:sz w:val="24"/>
          <w:szCs w:val="24"/>
        </w:rPr>
        <w:t xml:space="preserve">clients from </w:t>
      </w:r>
      <w:r w:rsidR="006A5923" w:rsidRPr="00273D24">
        <w:rPr>
          <w:rFonts w:ascii="Times New Roman" w:hAnsi="Times New Roman" w:cs="Times New Roman"/>
          <w:sz w:val="24"/>
          <w:szCs w:val="24"/>
        </w:rPr>
        <w:t>considerable effort and expense.</w:t>
      </w:r>
      <w:r w:rsidR="00F7086D" w:rsidRPr="00273D24">
        <w:rPr>
          <w:rFonts w:ascii="Times New Roman" w:hAnsi="Times New Roman" w:cs="Times New Roman"/>
          <w:sz w:val="24"/>
          <w:szCs w:val="24"/>
        </w:rPr>
        <w:t xml:space="preserve"> </w:t>
      </w:r>
    </w:p>
    <w:p w14:paraId="266A2A76" w14:textId="77777777" w:rsidR="007F4CB5" w:rsidRPr="00273D24" w:rsidRDefault="0018514F" w:rsidP="008F1393">
      <w:pPr>
        <w:pStyle w:val="ListParagraph"/>
        <w:numPr>
          <w:ilvl w:val="0"/>
          <w:numId w:val="3"/>
        </w:numPr>
        <w:jc w:val="both"/>
        <w:rPr>
          <w:rFonts w:ascii="Times New Roman" w:hAnsi="Times New Roman" w:cs="Times New Roman"/>
          <w:b/>
          <w:sz w:val="24"/>
          <w:szCs w:val="24"/>
          <w:u w:val="single"/>
        </w:rPr>
      </w:pPr>
      <w:r w:rsidRPr="00273D24">
        <w:rPr>
          <w:rFonts w:ascii="Times New Roman" w:hAnsi="Times New Roman" w:cs="Times New Roman"/>
          <w:b/>
          <w:sz w:val="24"/>
          <w:szCs w:val="24"/>
          <w:u w:val="single"/>
        </w:rPr>
        <w:t>RULE 502</w:t>
      </w:r>
      <w:r w:rsidR="00FF44C7" w:rsidRPr="00273D24">
        <w:rPr>
          <w:rFonts w:ascii="Times New Roman" w:hAnsi="Times New Roman" w:cs="Times New Roman"/>
          <w:b/>
          <w:sz w:val="24"/>
          <w:szCs w:val="24"/>
          <w:u w:val="single"/>
        </w:rPr>
        <w:t xml:space="preserve"> </w:t>
      </w:r>
      <w:r w:rsidRPr="00273D24">
        <w:rPr>
          <w:rFonts w:ascii="Times New Roman" w:hAnsi="Times New Roman" w:cs="Times New Roman"/>
          <w:b/>
          <w:sz w:val="24"/>
          <w:szCs w:val="24"/>
          <w:u w:val="single"/>
        </w:rPr>
        <w:t>and CLAWBACK PROVISIONS</w:t>
      </w:r>
    </w:p>
    <w:p w14:paraId="51EBBC78" w14:textId="77777777" w:rsidR="00FF44C7" w:rsidRPr="00273D24" w:rsidRDefault="00674628" w:rsidP="00013AE8">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 xml:space="preserve">With so much information to review, the costs of a thorough review can become unmanageable.  Absent a thorough review, however, an inadvertent disclosure of privileged or </w:t>
      </w:r>
      <w:r w:rsidRPr="00273D24">
        <w:rPr>
          <w:rFonts w:ascii="Times New Roman" w:hAnsi="Times New Roman" w:cs="Times New Roman"/>
          <w:sz w:val="24"/>
          <w:szCs w:val="24"/>
        </w:rPr>
        <w:lastRenderedPageBreak/>
        <w:t xml:space="preserve">confidential information </w:t>
      </w:r>
      <w:r w:rsidR="00FF44C7" w:rsidRPr="00273D24">
        <w:rPr>
          <w:rFonts w:ascii="Times New Roman" w:hAnsi="Times New Roman" w:cs="Times New Roman"/>
          <w:sz w:val="24"/>
          <w:szCs w:val="24"/>
        </w:rPr>
        <w:t xml:space="preserve">becomes more </w:t>
      </w:r>
      <w:r w:rsidRPr="00273D24">
        <w:rPr>
          <w:rFonts w:ascii="Times New Roman" w:hAnsi="Times New Roman" w:cs="Times New Roman"/>
          <w:sz w:val="24"/>
          <w:szCs w:val="24"/>
        </w:rPr>
        <w:t xml:space="preserve">likely. </w:t>
      </w:r>
      <w:r w:rsidR="00FF44C7" w:rsidRPr="00273D24">
        <w:rPr>
          <w:rFonts w:ascii="Times New Roman" w:hAnsi="Times New Roman" w:cs="Times New Roman"/>
          <w:sz w:val="24"/>
          <w:szCs w:val="24"/>
        </w:rPr>
        <w:t xml:space="preserve"> Fortunately, some procedures and practices can alleviate this concern.</w:t>
      </w:r>
    </w:p>
    <w:p w14:paraId="5BAA2BFF" w14:textId="77777777" w:rsidR="0069551A" w:rsidRPr="00273D24" w:rsidRDefault="0069551A" w:rsidP="00013AE8">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 xml:space="preserve">The Federal </w:t>
      </w:r>
      <w:r w:rsidR="00395069" w:rsidRPr="00273D24">
        <w:rPr>
          <w:rFonts w:ascii="Times New Roman" w:hAnsi="Times New Roman" w:cs="Times New Roman"/>
          <w:sz w:val="24"/>
          <w:szCs w:val="24"/>
        </w:rPr>
        <w:t>Rules of Civil Procedure</w:t>
      </w:r>
      <w:r w:rsidRPr="00273D24">
        <w:rPr>
          <w:rFonts w:ascii="Times New Roman" w:hAnsi="Times New Roman" w:cs="Times New Roman"/>
          <w:sz w:val="24"/>
          <w:szCs w:val="24"/>
        </w:rPr>
        <w:t xml:space="preserve"> grant strong privilege protection and waive</w:t>
      </w:r>
      <w:r w:rsidR="00395069" w:rsidRPr="00273D24">
        <w:rPr>
          <w:rFonts w:ascii="Times New Roman" w:hAnsi="Times New Roman" w:cs="Times New Roman"/>
          <w:sz w:val="24"/>
          <w:szCs w:val="24"/>
        </w:rPr>
        <w:t xml:space="preserve">r avoidance to parties who are able to follow their guidance and also agree upon </w:t>
      </w:r>
      <w:r w:rsidR="008B24A0" w:rsidRPr="00273D24">
        <w:rPr>
          <w:rFonts w:ascii="Times New Roman" w:hAnsi="Times New Roman" w:cs="Times New Roman"/>
          <w:sz w:val="24"/>
          <w:szCs w:val="24"/>
        </w:rPr>
        <w:t>a</w:t>
      </w:r>
      <w:r w:rsidR="00395069" w:rsidRPr="00273D24">
        <w:rPr>
          <w:rFonts w:ascii="Times New Roman" w:hAnsi="Times New Roman" w:cs="Times New Roman"/>
          <w:sz w:val="24"/>
          <w:szCs w:val="24"/>
        </w:rPr>
        <w:t xml:space="preserve"> </w:t>
      </w:r>
      <w:r w:rsidR="00DA245B" w:rsidRPr="00273D24">
        <w:rPr>
          <w:rFonts w:ascii="Times New Roman" w:hAnsi="Times New Roman" w:cs="Times New Roman"/>
          <w:sz w:val="24"/>
          <w:szCs w:val="24"/>
        </w:rPr>
        <w:t xml:space="preserve">sufficiently drafted protective order.  </w:t>
      </w:r>
      <w:r w:rsidR="00A81010" w:rsidRPr="00273D24">
        <w:rPr>
          <w:rFonts w:ascii="Times New Roman" w:hAnsi="Times New Roman" w:cs="Times New Roman"/>
          <w:sz w:val="24"/>
          <w:szCs w:val="24"/>
        </w:rPr>
        <w:t>To this end, Federal Rule of Evidence 5</w:t>
      </w:r>
      <w:r w:rsidR="000678D2" w:rsidRPr="00273D24">
        <w:rPr>
          <w:rFonts w:ascii="Times New Roman" w:hAnsi="Times New Roman" w:cs="Times New Roman"/>
          <w:sz w:val="24"/>
          <w:szCs w:val="24"/>
        </w:rPr>
        <w:t xml:space="preserve">02 provides, in relevant part, </w:t>
      </w:r>
      <w:r w:rsidR="003538D5" w:rsidRPr="00273D24">
        <w:rPr>
          <w:rFonts w:ascii="Times New Roman" w:hAnsi="Times New Roman" w:cs="Times New Roman"/>
          <w:sz w:val="24"/>
          <w:szCs w:val="24"/>
        </w:rPr>
        <w:t>that a federal court “may order that the [attorney-client privilege</w:t>
      </w:r>
      <w:r w:rsidR="00966818" w:rsidRPr="00273D24">
        <w:rPr>
          <w:rFonts w:ascii="Times New Roman" w:hAnsi="Times New Roman" w:cs="Times New Roman"/>
          <w:sz w:val="24"/>
          <w:szCs w:val="24"/>
        </w:rPr>
        <w:t xml:space="preserve"> and work product protection</w:t>
      </w:r>
      <w:r w:rsidR="003538D5" w:rsidRPr="00273D24">
        <w:rPr>
          <w:rFonts w:ascii="Times New Roman" w:hAnsi="Times New Roman" w:cs="Times New Roman"/>
          <w:sz w:val="24"/>
          <w:szCs w:val="24"/>
        </w:rPr>
        <w:t>] is not waived by disclosure connected with the litigation pending before the court—in which event the disclosure is also not a waiver in any other federal or state proceeding.”</w:t>
      </w:r>
      <w:r w:rsidR="003538D5" w:rsidRPr="00273D24">
        <w:rPr>
          <w:rStyle w:val="FootnoteReference"/>
          <w:rFonts w:ascii="Times New Roman" w:hAnsi="Times New Roman" w:cs="Times New Roman"/>
          <w:sz w:val="24"/>
          <w:szCs w:val="24"/>
        </w:rPr>
        <w:footnoteReference w:id="99"/>
      </w:r>
      <w:r w:rsidR="00C95CEF" w:rsidRPr="00273D24">
        <w:rPr>
          <w:rFonts w:ascii="Times New Roman" w:hAnsi="Times New Roman" w:cs="Times New Roman"/>
          <w:sz w:val="24"/>
          <w:szCs w:val="24"/>
        </w:rPr>
        <w:t xml:space="preserve">  Such an order, known as a “Rule 502(d) order,” confers a numb</w:t>
      </w:r>
      <w:r w:rsidR="00012B86" w:rsidRPr="00273D24">
        <w:rPr>
          <w:rFonts w:ascii="Times New Roman" w:hAnsi="Times New Roman" w:cs="Times New Roman"/>
          <w:sz w:val="24"/>
          <w:szCs w:val="24"/>
        </w:rPr>
        <w:t>er of benefits upon litigants and establishes a bright line for those parties who invoke its protections.</w:t>
      </w:r>
      <w:r w:rsidR="00012B86" w:rsidRPr="00273D24">
        <w:rPr>
          <w:rStyle w:val="FootnoteReference"/>
          <w:rFonts w:ascii="Times New Roman" w:hAnsi="Times New Roman" w:cs="Times New Roman"/>
          <w:sz w:val="24"/>
          <w:szCs w:val="24"/>
        </w:rPr>
        <w:footnoteReference w:id="100"/>
      </w:r>
      <w:r w:rsidR="00A536AB" w:rsidRPr="00273D24">
        <w:rPr>
          <w:rFonts w:ascii="Times New Roman" w:hAnsi="Times New Roman" w:cs="Times New Roman"/>
          <w:sz w:val="24"/>
          <w:szCs w:val="24"/>
        </w:rPr>
        <w:t xml:space="preserve">  </w:t>
      </w:r>
    </w:p>
    <w:p w14:paraId="2A66BEC3" w14:textId="77777777" w:rsidR="0069551A" w:rsidRPr="00273D24" w:rsidRDefault="00FA61DE" w:rsidP="00013AE8">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 xml:space="preserve">Rule 502 </w:t>
      </w:r>
      <w:r w:rsidR="00FE027B" w:rsidRPr="00273D24">
        <w:rPr>
          <w:rFonts w:ascii="Times New Roman" w:hAnsi="Times New Roman" w:cs="Times New Roman"/>
          <w:sz w:val="24"/>
          <w:szCs w:val="24"/>
        </w:rPr>
        <w:t>promotes cost savings “by dictating that a protective order can eliminate disclosure-based privilege waiver, thereby making feasible lower-cost privilege review.”</w:t>
      </w:r>
      <w:r w:rsidR="00FE027B" w:rsidRPr="00273D24">
        <w:rPr>
          <w:rStyle w:val="FootnoteReference"/>
          <w:rFonts w:ascii="Times New Roman" w:hAnsi="Times New Roman" w:cs="Times New Roman"/>
          <w:sz w:val="24"/>
          <w:szCs w:val="24"/>
        </w:rPr>
        <w:footnoteReference w:id="101"/>
      </w:r>
      <w:r w:rsidR="00FE027B" w:rsidRPr="00273D24">
        <w:rPr>
          <w:rFonts w:ascii="Times New Roman" w:hAnsi="Times New Roman" w:cs="Times New Roman"/>
          <w:sz w:val="24"/>
          <w:szCs w:val="24"/>
        </w:rPr>
        <w:t xml:space="preserve">  </w:t>
      </w:r>
      <w:r w:rsidR="00C9479A" w:rsidRPr="00273D24">
        <w:rPr>
          <w:rFonts w:ascii="Times New Roman" w:hAnsi="Times New Roman" w:cs="Times New Roman"/>
          <w:sz w:val="24"/>
          <w:szCs w:val="24"/>
        </w:rPr>
        <w:t>Further</w:t>
      </w:r>
      <w:r w:rsidRPr="00273D24">
        <w:rPr>
          <w:rFonts w:ascii="Times New Roman" w:hAnsi="Times New Roman" w:cs="Times New Roman"/>
          <w:sz w:val="24"/>
          <w:szCs w:val="24"/>
        </w:rPr>
        <w:t>, a court may provide “for the return of privileged documents irrespective of the care taken by the disclosing party.”</w:t>
      </w:r>
      <w:r w:rsidRPr="00273D24">
        <w:rPr>
          <w:rStyle w:val="FootnoteReference"/>
          <w:rFonts w:ascii="Times New Roman" w:hAnsi="Times New Roman" w:cs="Times New Roman"/>
          <w:sz w:val="24"/>
          <w:szCs w:val="24"/>
        </w:rPr>
        <w:footnoteReference w:id="102"/>
      </w:r>
      <w:r w:rsidR="00722847" w:rsidRPr="00273D24">
        <w:rPr>
          <w:rFonts w:ascii="Times New Roman" w:hAnsi="Times New Roman" w:cs="Times New Roman"/>
          <w:sz w:val="24"/>
          <w:szCs w:val="24"/>
        </w:rPr>
        <w:t xml:space="preserve">  B</w:t>
      </w:r>
      <w:r w:rsidR="00C9479A" w:rsidRPr="00273D24">
        <w:rPr>
          <w:rFonts w:ascii="Times New Roman" w:hAnsi="Times New Roman" w:cs="Times New Roman"/>
          <w:sz w:val="24"/>
          <w:szCs w:val="24"/>
        </w:rPr>
        <w:t xml:space="preserve">ecause Rule 502 orders “confer these protections </w:t>
      </w:r>
      <w:r w:rsidR="00C9479A" w:rsidRPr="00273D24">
        <w:rPr>
          <w:rFonts w:ascii="Times New Roman" w:hAnsi="Times New Roman" w:cs="Times New Roman"/>
          <w:i/>
          <w:sz w:val="24"/>
          <w:szCs w:val="24"/>
        </w:rPr>
        <w:t>within</w:t>
      </w:r>
      <w:r w:rsidR="00C9479A" w:rsidRPr="00273D24">
        <w:rPr>
          <w:rFonts w:ascii="Times New Roman" w:hAnsi="Times New Roman" w:cs="Times New Roman"/>
          <w:sz w:val="24"/>
          <w:szCs w:val="24"/>
        </w:rPr>
        <w:t xml:space="preserve"> the proceeding . . . as well as beyond the given proceeding</w:t>
      </w:r>
      <w:r w:rsidR="00E264FE" w:rsidRPr="00273D24">
        <w:rPr>
          <w:rFonts w:ascii="Times New Roman" w:hAnsi="Times New Roman" w:cs="Times New Roman"/>
          <w:sz w:val="24"/>
          <w:szCs w:val="24"/>
        </w:rPr>
        <w:t>,</w:t>
      </w:r>
      <w:r w:rsidR="00C9479A" w:rsidRPr="00273D24">
        <w:rPr>
          <w:rFonts w:ascii="Times New Roman" w:hAnsi="Times New Roman" w:cs="Times New Roman"/>
          <w:sz w:val="24"/>
          <w:szCs w:val="24"/>
        </w:rPr>
        <w:t xml:space="preserve">” the parties enjoy the benefit of reduced cost and time necessary to </w:t>
      </w:r>
      <w:r w:rsidR="00434779" w:rsidRPr="00273D24">
        <w:rPr>
          <w:rFonts w:ascii="Times New Roman" w:hAnsi="Times New Roman" w:cs="Times New Roman"/>
          <w:sz w:val="24"/>
          <w:szCs w:val="24"/>
        </w:rPr>
        <w:t>complete discovery by allowing them to reduce or forego privilege review.</w:t>
      </w:r>
      <w:r w:rsidR="00434779" w:rsidRPr="00273D24">
        <w:rPr>
          <w:rStyle w:val="FootnoteReference"/>
          <w:rFonts w:ascii="Times New Roman" w:hAnsi="Times New Roman" w:cs="Times New Roman"/>
          <w:sz w:val="24"/>
          <w:szCs w:val="24"/>
        </w:rPr>
        <w:footnoteReference w:id="103"/>
      </w:r>
      <w:r w:rsidR="00722847" w:rsidRPr="00273D24">
        <w:rPr>
          <w:rFonts w:ascii="Times New Roman" w:hAnsi="Times New Roman" w:cs="Times New Roman"/>
          <w:sz w:val="24"/>
          <w:szCs w:val="24"/>
        </w:rPr>
        <w:t xml:space="preserve">  Therefore, a Rule 502 order will minimize the damage created by the inadvertent disclosure of privileged information</w:t>
      </w:r>
      <w:r w:rsidR="00E264FE" w:rsidRPr="00273D24">
        <w:rPr>
          <w:rFonts w:ascii="Times New Roman" w:hAnsi="Times New Roman" w:cs="Times New Roman"/>
          <w:sz w:val="24"/>
          <w:szCs w:val="24"/>
        </w:rPr>
        <w:t xml:space="preserve">.  </w:t>
      </w:r>
      <w:r w:rsidR="001C5198" w:rsidRPr="00273D24">
        <w:rPr>
          <w:rFonts w:ascii="Times New Roman" w:hAnsi="Times New Roman" w:cs="Times New Roman"/>
          <w:sz w:val="24"/>
          <w:szCs w:val="24"/>
        </w:rPr>
        <w:t xml:space="preserve">A Rule 502 order will also eliminate the </w:t>
      </w:r>
      <w:r w:rsidR="00F76C52" w:rsidRPr="00273D24">
        <w:rPr>
          <w:rFonts w:ascii="Times New Roman" w:hAnsi="Times New Roman" w:cs="Times New Roman"/>
          <w:sz w:val="24"/>
          <w:szCs w:val="24"/>
        </w:rPr>
        <w:t xml:space="preserve">possibility of </w:t>
      </w:r>
      <w:r w:rsidR="00F76C52" w:rsidRPr="00273D24">
        <w:rPr>
          <w:rFonts w:ascii="Times New Roman" w:hAnsi="Times New Roman" w:cs="Times New Roman"/>
          <w:sz w:val="24"/>
          <w:szCs w:val="24"/>
        </w:rPr>
        <w:lastRenderedPageBreak/>
        <w:t>many worst</w:t>
      </w:r>
      <w:r w:rsidR="001C5198" w:rsidRPr="00273D24">
        <w:rPr>
          <w:rFonts w:ascii="Times New Roman" w:hAnsi="Times New Roman" w:cs="Times New Roman"/>
          <w:sz w:val="24"/>
          <w:szCs w:val="24"/>
        </w:rPr>
        <w:t>-case scenarios</w:t>
      </w:r>
      <w:r w:rsidR="00E264FE" w:rsidRPr="00273D24">
        <w:rPr>
          <w:rFonts w:ascii="Times New Roman" w:hAnsi="Times New Roman" w:cs="Times New Roman"/>
          <w:sz w:val="24"/>
          <w:szCs w:val="24"/>
        </w:rPr>
        <w:t>,</w:t>
      </w:r>
      <w:r w:rsidR="001C5198" w:rsidRPr="00273D24">
        <w:rPr>
          <w:rFonts w:ascii="Times New Roman" w:hAnsi="Times New Roman" w:cs="Times New Roman"/>
          <w:sz w:val="24"/>
          <w:szCs w:val="24"/>
        </w:rPr>
        <w:t xml:space="preserve"> such as the opposing party gaining leverage in settlement negotiations upo</w:t>
      </w:r>
      <w:r w:rsidR="004F3694" w:rsidRPr="00273D24">
        <w:rPr>
          <w:rFonts w:ascii="Times New Roman" w:hAnsi="Times New Roman" w:cs="Times New Roman"/>
          <w:sz w:val="24"/>
          <w:szCs w:val="24"/>
        </w:rPr>
        <w:t>n learning information through accidental disclosure of a</w:t>
      </w:r>
      <w:r w:rsidR="001C5198" w:rsidRPr="00273D24">
        <w:rPr>
          <w:rFonts w:ascii="Times New Roman" w:hAnsi="Times New Roman" w:cs="Times New Roman"/>
          <w:sz w:val="24"/>
          <w:szCs w:val="24"/>
        </w:rPr>
        <w:t xml:space="preserve"> privileged document.</w:t>
      </w:r>
      <w:r w:rsidR="001C5198" w:rsidRPr="00273D24">
        <w:rPr>
          <w:rStyle w:val="FootnoteReference"/>
          <w:rFonts w:ascii="Times New Roman" w:hAnsi="Times New Roman" w:cs="Times New Roman"/>
          <w:sz w:val="24"/>
          <w:szCs w:val="24"/>
        </w:rPr>
        <w:footnoteReference w:id="104"/>
      </w:r>
      <w:r w:rsidR="00C9479A" w:rsidRPr="00273D24">
        <w:rPr>
          <w:rFonts w:ascii="Times New Roman" w:hAnsi="Times New Roman" w:cs="Times New Roman"/>
          <w:sz w:val="24"/>
          <w:szCs w:val="24"/>
        </w:rPr>
        <w:t xml:space="preserve"> </w:t>
      </w:r>
    </w:p>
    <w:p w14:paraId="42B1129C" w14:textId="77777777" w:rsidR="00D4268F" w:rsidRPr="00273D24" w:rsidRDefault="00FF44C7" w:rsidP="00013AE8">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Practitioners can further protect their clients by negotiating a clawback agreement. Such agreements are part of an increasing trend for parties to “forgo privilege review altogether in favor of an agreement to return inadvertently produced privileged documents.”</w:t>
      </w:r>
      <w:r w:rsidRPr="00273D24">
        <w:rPr>
          <w:rStyle w:val="FootnoteReference"/>
          <w:rFonts w:ascii="Times New Roman" w:hAnsi="Times New Roman" w:cs="Times New Roman"/>
          <w:sz w:val="24"/>
          <w:szCs w:val="24"/>
        </w:rPr>
        <w:footnoteReference w:id="105"/>
      </w:r>
      <w:r w:rsidRPr="00273D24">
        <w:rPr>
          <w:rFonts w:ascii="Times New Roman" w:hAnsi="Times New Roman" w:cs="Times New Roman"/>
          <w:sz w:val="24"/>
          <w:szCs w:val="24"/>
        </w:rPr>
        <w:t xml:space="preserve">  This trend is the function of cost-saving efforts and a growing recognition that inadvertent disclosure of privileged documents and its resultant consequences had been transformed into a “specter that haunts every document intensive case.”</w:t>
      </w:r>
      <w:r w:rsidRPr="00273D24">
        <w:rPr>
          <w:rStyle w:val="FootnoteReference"/>
          <w:rFonts w:ascii="Times New Roman" w:hAnsi="Times New Roman" w:cs="Times New Roman"/>
          <w:sz w:val="24"/>
          <w:szCs w:val="24"/>
        </w:rPr>
        <w:footnoteReference w:id="106"/>
      </w:r>
      <w:r w:rsidRPr="00273D24">
        <w:rPr>
          <w:rFonts w:ascii="Times New Roman" w:hAnsi="Times New Roman" w:cs="Times New Roman"/>
          <w:sz w:val="24"/>
          <w:szCs w:val="24"/>
        </w:rPr>
        <w:t xml:space="preserve">  A typical clawback agreement contains language to the effect that the “production of any of the documents presently in dispute shall not constitute a waiver of any privilege.”</w:t>
      </w:r>
      <w:r w:rsidRPr="00273D24">
        <w:rPr>
          <w:rStyle w:val="FootnoteReference"/>
          <w:rFonts w:ascii="Times New Roman" w:hAnsi="Times New Roman" w:cs="Times New Roman"/>
          <w:sz w:val="24"/>
          <w:szCs w:val="24"/>
        </w:rPr>
        <w:footnoteReference w:id="107"/>
      </w:r>
      <w:r w:rsidRPr="00273D24">
        <w:rPr>
          <w:rFonts w:ascii="Times New Roman" w:hAnsi="Times New Roman" w:cs="Times New Roman"/>
          <w:sz w:val="24"/>
          <w:szCs w:val="24"/>
        </w:rPr>
        <w:t xml:space="preserve">  Clawback agreements are construed pursuant to general contract law and as such, parties are able to mold their basic terms to specify details such as which type of privilege is covered, how much time a party has to claim a privilege, and the procedures employed when a party does so.</w:t>
      </w:r>
      <w:r w:rsidRPr="00273D24">
        <w:rPr>
          <w:rStyle w:val="FootnoteReference"/>
          <w:rFonts w:ascii="Times New Roman" w:hAnsi="Times New Roman" w:cs="Times New Roman"/>
          <w:sz w:val="24"/>
          <w:szCs w:val="24"/>
        </w:rPr>
        <w:footnoteReference w:id="108"/>
      </w:r>
    </w:p>
    <w:p w14:paraId="1E23C75C" w14:textId="77777777" w:rsidR="00F24865" w:rsidRPr="00273D24" w:rsidRDefault="00F24865" w:rsidP="00913402">
      <w:pPr>
        <w:pStyle w:val="ListParagraph"/>
        <w:numPr>
          <w:ilvl w:val="0"/>
          <w:numId w:val="3"/>
        </w:numPr>
        <w:spacing w:line="240" w:lineRule="auto"/>
        <w:jc w:val="both"/>
        <w:rPr>
          <w:rFonts w:ascii="Times New Roman" w:hAnsi="Times New Roman" w:cs="Times New Roman"/>
          <w:b/>
          <w:caps/>
          <w:sz w:val="24"/>
          <w:szCs w:val="24"/>
          <w:u w:val="single"/>
        </w:rPr>
      </w:pPr>
      <w:r w:rsidRPr="00273D24">
        <w:rPr>
          <w:rFonts w:ascii="Times New Roman" w:hAnsi="Times New Roman" w:cs="Times New Roman"/>
          <w:b/>
          <w:caps/>
          <w:sz w:val="24"/>
          <w:szCs w:val="24"/>
          <w:u w:val="single"/>
        </w:rPr>
        <w:t>Working with and Subpoenaing Social Media Companies</w:t>
      </w:r>
    </w:p>
    <w:p w14:paraId="5DA3E259" w14:textId="77777777" w:rsidR="007B6307" w:rsidRPr="00273D24" w:rsidRDefault="00B4141F" w:rsidP="00013AE8">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 xml:space="preserve">Among the many sources of electronic discovery is the world of social media. </w:t>
      </w:r>
      <w:r w:rsidR="007B6307" w:rsidRPr="00273D24">
        <w:rPr>
          <w:rFonts w:ascii="Times New Roman" w:hAnsi="Times New Roman" w:cs="Times New Roman"/>
          <w:sz w:val="24"/>
          <w:szCs w:val="24"/>
        </w:rPr>
        <w:t xml:space="preserve">In recent years, social media has provided a playground for litigators. Unsuspecting litigants and witnesses share </w:t>
      </w:r>
      <w:r w:rsidR="007D3704" w:rsidRPr="00273D24">
        <w:rPr>
          <w:rFonts w:ascii="Times New Roman" w:hAnsi="Times New Roman" w:cs="Times New Roman"/>
          <w:sz w:val="24"/>
          <w:szCs w:val="24"/>
        </w:rPr>
        <w:t>private details of their lives on various social media platforms, from Facebook to Twitter to Snapchat.  There are evidentiary and ethical considerations for a practitioner who hopes to tap into this source of information.</w:t>
      </w:r>
    </w:p>
    <w:p w14:paraId="732F4692" w14:textId="77777777" w:rsidR="007D3704" w:rsidRPr="00273D24" w:rsidRDefault="007D3704" w:rsidP="00013AE8">
      <w:pPr>
        <w:spacing w:after="0" w:line="480" w:lineRule="auto"/>
        <w:ind w:firstLine="720"/>
        <w:jc w:val="both"/>
        <w:rPr>
          <w:rFonts w:ascii="Times New Roman" w:hAnsi="Times New Roman" w:cs="Times New Roman"/>
          <w:b/>
          <w:sz w:val="24"/>
          <w:szCs w:val="24"/>
        </w:rPr>
      </w:pPr>
      <w:r w:rsidRPr="00273D24">
        <w:rPr>
          <w:rFonts w:ascii="Times New Roman" w:hAnsi="Times New Roman" w:cs="Times New Roman"/>
          <w:b/>
          <w:sz w:val="24"/>
          <w:szCs w:val="24"/>
        </w:rPr>
        <w:lastRenderedPageBreak/>
        <w:t>1.</w:t>
      </w:r>
      <w:r w:rsidRPr="00273D24">
        <w:rPr>
          <w:rFonts w:ascii="Times New Roman" w:hAnsi="Times New Roman" w:cs="Times New Roman"/>
          <w:b/>
          <w:sz w:val="24"/>
          <w:szCs w:val="24"/>
        </w:rPr>
        <w:tab/>
      </w:r>
      <w:r w:rsidRPr="00273D24">
        <w:rPr>
          <w:rFonts w:ascii="Times New Roman" w:hAnsi="Times New Roman" w:cs="Times New Roman"/>
          <w:b/>
          <w:sz w:val="24"/>
          <w:szCs w:val="24"/>
          <w:u w:val="single"/>
        </w:rPr>
        <w:t>Subpoena Power</w:t>
      </w:r>
    </w:p>
    <w:p w14:paraId="77B351DC" w14:textId="77777777" w:rsidR="00672E60" w:rsidRPr="00273D24" w:rsidRDefault="002A3DC6" w:rsidP="00013AE8">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It may not surprise the reader to learn</w:t>
      </w:r>
      <w:r w:rsidR="00C17873" w:rsidRPr="00273D24">
        <w:rPr>
          <w:rFonts w:ascii="Times New Roman" w:hAnsi="Times New Roman" w:cs="Times New Roman"/>
          <w:sz w:val="24"/>
          <w:szCs w:val="24"/>
        </w:rPr>
        <w:t xml:space="preserve"> that social media companies </w:t>
      </w:r>
      <w:r w:rsidR="004F5F8B" w:rsidRPr="00273D24">
        <w:rPr>
          <w:rFonts w:ascii="Times New Roman" w:hAnsi="Times New Roman" w:cs="Times New Roman"/>
          <w:sz w:val="24"/>
          <w:szCs w:val="24"/>
        </w:rPr>
        <w:t>resist</w:t>
      </w:r>
      <w:r w:rsidR="00C17873" w:rsidRPr="00273D24">
        <w:rPr>
          <w:rFonts w:ascii="Times New Roman" w:hAnsi="Times New Roman" w:cs="Times New Roman"/>
          <w:sz w:val="24"/>
          <w:szCs w:val="24"/>
        </w:rPr>
        <w:t xml:space="preserve"> third-par</w:t>
      </w:r>
      <w:r w:rsidR="00452A06" w:rsidRPr="00273D24">
        <w:rPr>
          <w:rFonts w:ascii="Times New Roman" w:hAnsi="Times New Roman" w:cs="Times New Roman"/>
          <w:sz w:val="24"/>
          <w:szCs w:val="24"/>
        </w:rPr>
        <w:t>ty subpoenas aimed at obtaining user account contents</w:t>
      </w:r>
      <w:r w:rsidR="009416A7" w:rsidRPr="00273D24">
        <w:rPr>
          <w:rFonts w:ascii="Times New Roman" w:hAnsi="Times New Roman" w:cs="Times New Roman"/>
          <w:sz w:val="24"/>
          <w:szCs w:val="24"/>
        </w:rPr>
        <w:t xml:space="preserve">.  The reasons for such </w:t>
      </w:r>
      <w:r w:rsidR="00541122" w:rsidRPr="00273D24">
        <w:rPr>
          <w:rFonts w:ascii="Times New Roman" w:hAnsi="Times New Roman" w:cs="Times New Roman"/>
          <w:sz w:val="24"/>
          <w:szCs w:val="24"/>
        </w:rPr>
        <w:t xml:space="preserve">opposition vary, but </w:t>
      </w:r>
      <w:r w:rsidR="00266F13" w:rsidRPr="00273D24">
        <w:rPr>
          <w:rFonts w:ascii="Times New Roman" w:hAnsi="Times New Roman" w:cs="Times New Roman"/>
          <w:sz w:val="24"/>
          <w:szCs w:val="24"/>
        </w:rPr>
        <w:t>conceivably include</w:t>
      </w:r>
      <w:r w:rsidR="00B13117" w:rsidRPr="00273D24">
        <w:rPr>
          <w:rFonts w:ascii="Times New Roman" w:hAnsi="Times New Roman" w:cs="Times New Roman"/>
          <w:sz w:val="24"/>
          <w:szCs w:val="24"/>
        </w:rPr>
        <w:t xml:space="preserve"> </w:t>
      </w:r>
      <w:r w:rsidR="00A2580A" w:rsidRPr="00273D24">
        <w:rPr>
          <w:rFonts w:ascii="Times New Roman" w:hAnsi="Times New Roman" w:cs="Times New Roman"/>
          <w:sz w:val="24"/>
          <w:szCs w:val="24"/>
        </w:rPr>
        <w:t>precluding the investment of</w:t>
      </w:r>
      <w:r w:rsidR="00266F13" w:rsidRPr="00273D24">
        <w:rPr>
          <w:rFonts w:ascii="Times New Roman" w:hAnsi="Times New Roman" w:cs="Times New Roman"/>
          <w:sz w:val="24"/>
          <w:szCs w:val="24"/>
        </w:rPr>
        <w:t xml:space="preserve"> substantial res</w:t>
      </w:r>
      <w:r w:rsidR="00904711" w:rsidRPr="00273D24">
        <w:rPr>
          <w:rFonts w:ascii="Times New Roman" w:hAnsi="Times New Roman" w:cs="Times New Roman"/>
          <w:sz w:val="24"/>
          <w:szCs w:val="24"/>
        </w:rPr>
        <w:t>ources in responding to potentially endless</w:t>
      </w:r>
      <w:r w:rsidR="00266F13" w:rsidRPr="00273D24">
        <w:rPr>
          <w:rFonts w:ascii="Times New Roman" w:hAnsi="Times New Roman" w:cs="Times New Roman"/>
          <w:sz w:val="24"/>
          <w:szCs w:val="24"/>
        </w:rPr>
        <w:t xml:space="preserve"> di</w:t>
      </w:r>
      <w:r w:rsidR="00A2580A" w:rsidRPr="00273D24">
        <w:rPr>
          <w:rFonts w:ascii="Times New Roman" w:hAnsi="Times New Roman" w:cs="Times New Roman"/>
          <w:sz w:val="24"/>
          <w:szCs w:val="24"/>
        </w:rPr>
        <w:t>scovery requests and</w:t>
      </w:r>
      <w:r w:rsidR="00266F13" w:rsidRPr="00273D24">
        <w:rPr>
          <w:rFonts w:ascii="Times New Roman" w:hAnsi="Times New Roman" w:cs="Times New Roman"/>
          <w:sz w:val="24"/>
          <w:szCs w:val="24"/>
        </w:rPr>
        <w:t xml:space="preserve"> the potential for</w:t>
      </w:r>
      <w:r w:rsidR="00B13117" w:rsidRPr="00273D24">
        <w:rPr>
          <w:rFonts w:ascii="Times New Roman" w:hAnsi="Times New Roman" w:cs="Times New Roman"/>
          <w:sz w:val="24"/>
          <w:szCs w:val="24"/>
        </w:rPr>
        <w:t xml:space="preserve"> privacy concerns </w:t>
      </w:r>
      <w:r w:rsidR="00A2580A" w:rsidRPr="00273D24">
        <w:rPr>
          <w:rFonts w:ascii="Times New Roman" w:hAnsi="Times New Roman" w:cs="Times New Roman"/>
          <w:sz w:val="24"/>
          <w:szCs w:val="24"/>
        </w:rPr>
        <w:t>or</w:t>
      </w:r>
      <w:r w:rsidR="00266F13" w:rsidRPr="00273D24">
        <w:rPr>
          <w:rFonts w:ascii="Times New Roman" w:hAnsi="Times New Roman" w:cs="Times New Roman"/>
          <w:sz w:val="24"/>
          <w:szCs w:val="24"/>
        </w:rPr>
        <w:t xml:space="preserve"> other questio</w:t>
      </w:r>
      <w:r w:rsidR="004F5F8B" w:rsidRPr="00273D24">
        <w:rPr>
          <w:rFonts w:ascii="Times New Roman" w:hAnsi="Times New Roman" w:cs="Times New Roman"/>
          <w:sz w:val="24"/>
          <w:szCs w:val="24"/>
        </w:rPr>
        <w:t>ns arising from the user base.  Some</w:t>
      </w:r>
      <w:r w:rsidR="00904711" w:rsidRPr="00273D24">
        <w:rPr>
          <w:rFonts w:ascii="Times New Roman" w:hAnsi="Times New Roman" w:cs="Times New Roman"/>
          <w:sz w:val="24"/>
          <w:szCs w:val="24"/>
        </w:rPr>
        <w:t xml:space="preserve"> social media companies appear to have adopted an unofficial policy of noncooperation regarding t</w:t>
      </w:r>
      <w:r w:rsidR="00A2580A" w:rsidRPr="00273D24">
        <w:rPr>
          <w:rFonts w:ascii="Times New Roman" w:hAnsi="Times New Roman" w:cs="Times New Roman"/>
          <w:sz w:val="24"/>
          <w:szCs w:val="24"/>
        </w:rPr>
        <w:t>hir</w:t>
      </w:r>
      <w:r w:rsidR="00B73C08" w:rsidRPr="00273D24">
        <w:rPr>
          <w:rFonts w:ascii="Times New Roman" w:hAnsi="Times New Roman" w:cs="Times New Roman"/>
          <w:sz w:val="24"/>
          <w:szCs w:val="24"/>
        </w:rPr>
        <w:t>d-party subpoenas</w:t>
      </w:r>
      <w:r w:rsidR="00904711" w:rsidRPr="00273D24">
        <w:rPr>
          <w:rFonts w:ascii="Times New Roman" w:hAnsi="Times New Roman" w:cs="Times New Roman"/>
          <w:sz w:val="24"/>
          <w:szCs w:val="24"/>
        </w:rPr>
        <w:t xml:space="preserve">.  Others, like Facebook, publicly assert that federal law does not allow </w:t>
      </w:r>
      <w:r w:rsidR="001C65E8" w:rsidRPr="00273D24">
        <w:rPr>
          <w:rFonts w:ascii="Times New Roman" w:hAnsi="Times New Roman" w:cs="Times New Roman"/>
          <w:sz w:val="24"/>
          <w:szCs w:val="24"/>
        </w:rPr>
        <w:t>private parties to use subpoenas in order to acquire user account contents.</w:t>
      </w:r>
      <w:r w:rsidR="00513003" w:rsidRPr="00273D24">
        <w:rPr>
          <w:rFonts w:ascii="Times New Roman" w:hAnsi="Times New Roman" w:cs="Times New Roman"/>
          <w:sz w:val="24"/>
          <w:szCs w:val="24"/>
        </w:rPr>
        <w:t xml:space="preserve">  T</w:t>
      </w:r>
      <w:r w:rsidR="00A2580A" w:rsidRPr="00273D24">
        <w:rPr>
          <w:rFonts w:ascii="Times New Roman" w:hAnsi="Times New Roman" w:cs="Times New Roman"/>
          <w:sz w:val="24"/>
          <w:szCs w:val="24"/>
        </w:rPr>
        <w:t>hese companies rely upon the Stored Comm</w:t>
      </w:r>
      <w:r w:rsidR="00513003" w:rsidRPr="00273D24">
        <w:rPr>
          <w:rFonts w:ascii="Times New Roman" w:hAnsi="Times New Roman" w:cs="Times New Roman"/>
          <w:sz w:val="24"/>
          <w:szCs w:val="24"/>
        </w:rPr>
        <w:t>unication Act (the “SCA”) for support of their position.</w:t>
      </w:r>
      <w:r w:rsidR="00513003" w:rsidRPr="00273D24">
        <w:rPr>
          <w:rStyle w:val="FootnoteReference"/>
          <w:rFonts w:ascii="Times New Roman" w:hAnsi="Times New Roman" w:cs="Times New Roman"/>
          <w:sz w:val="24"/>
          <w:szCs w:val="24"/>
        </w:rPr>
        <w:footnoteReference w:id="109"/>
      </w:r>
      <w:r w:rsidR="001C65E8" w:rsidRPr="00273D24">
        <w:rPr>
          <w:rFonts w:ascii="Times New Roman" w:hAnsi="Times New Roman" w:cs="Times New Roman"/>
          <w:sz w:val="24"/>
          <w:szCs w:val="24"/>
        </w:rPr>
        <w:t xml:space="preserve">   </w:t>
      </w:r>
      <w:r w:rsidR="004F5F8B" w:rsidRPr="00273D24">
        <w:rPr>
          <w:rFonts w:ascii="Times New Roman" w:hAnsi="Times New Roman" w:cs="Times New Roman"/>
          <w:sz w:val="24"/>
          <w:szCs w:val="24"/>
        </w:rPr>
        <w:t xml:space="preserve"> </w:t>
      </w:r>
      <w:r w:rsidR="00266F13" w:rsidRPr="00273D24">
        <w:rPr>
          <w:rFonts w:ascii="Times New Roman" w:hAnsi="Times New Roman" w:cs="Times New Roman"/>
          <w:sz w:val="24"/>
          <w:szCs w:val="24"/>
        </w:rPr>
        <w:t xml:space="preserve"> </w:t>
      </w:r>
    </w:p>
    <w:p w14:paraId="35586AD2" w14:textId="77777777" w:rsidR="00672E60" w:rsidRPr="00273D24" w:rsidRDefault="00513003" w:rsidP="00013AE8">
      <w:pPr>
        <w:spacing w:after="0" w:line="480" w:lineRule="auto"/>
        <w:jc w:val="both"/>
        <w:rPr>
          <w:rFonts w:ascii="Times New Roman" w:hAnsi="Times New Roman" w:cs="Times New Roman"/>
          <w:sz w:val="24"/>
          <w:szCs w:val="24"/>
        </w:rPr>
      </w:pPr>
      <w:r w:rsidRPr="00273D24">
        <w:rPr>
          <w:rFonts w:ascii="Times New Roman" w:hAnsi="Times New Roman" w:cs="Times New Roman"/>
          <w:sz w:val="24"/>
          <w:szCs w:val="24"/>
        </w:rPr>
        <w:tab/>
      </w:r>
      <w:r w:rsidR="00845E95" w:rsidRPr="00273D24">
        <w:rPr>
          <w:rFonts w:ascii="Times New Roman" w:hAnsi="Times New Roman" w:cs="Times New Roman"/>
          <w:sz w:val="24"/>
          <w:szCs w:val="24"/>
        </w:rPr>
        <w:t xml:space="preserve">The SCA, </w:t>
      </w:r>
      <w:r w:rsidR="0035649B" w:rsidRPr="00273D24">
        <w:rPr>
          <w:rFonts w:ascii="Times New Roman" w:hAnsi="Times New Roman" w:cs="Times New Roman"/>
          <w:sz w:val="24"/>
          <w:szCs w:val="24"/>
        </w:rPr>
        <w:t>passed by Congress in 1986</w:t>
      </w:r>
      <w:r w:rsidR="00F26280" w:rsidRPr="00273D24">
        <w:rPr>
          <w:rFonts w:ascii="Times New Roman" w:hAnsi="Times New Roman" w:cs="Times New Roman"/>
          <w:sz w:val="24"/>
          <w:szCs w:val="24"/>
        </w:rPr>
        <w:t>, prohibit</w:t>
      </w:r>
      <w:r w:rsidR="00416083" w:rsidRPr="00273D24">
        <w:rPr>
          <w:rFonts w:ascii="Times New Roman" w:hAnsi="Times New Roman" w:cs="Times New Roman"/>
          <w:sz w:val="24"/>
          <w:szCs w:val="24"/>
        </w:rPr>
        <w:t xml:space="preserve">s a person or entity providing an </w:t>
      </w:r>
      <w:r w:rsidR="00BA7190" w:rsidRPr="00273D24">
        <w:rPr>
          <w:rFonts w:ascii="Times New Roman" w:hAnsi="Times New Roman" w:cs="Times New Roman"/>
          <w:sz w:val="24"/>
          <w:szCs w:val="24"/>
        </w:rPr>
        <w:t>“</w:t>
      </w:r>
      <w:r w:rsidR="00416083" w:rsidRPr="00273D24">
        <w:rPr>
          <w:rFonts w:ascii="Times New Roman" w:hAnsi="Times New Roman" w:cs="Times New Roman"/>
          <w:sz w:val="24"/>
          <w:szCs w:val="24"/>
        </w:rPr>
        <w:t>electronic communication service</w:t>
      </w:r>
      <w:r w:rsidR="00BA7190" w:rsidRPr="00273D24">
        <w:rPr>
          <w:rFonts w:ascii="Times New Roman" w:hAnsi="Times New Roman" w:cs="Times New Roman"/>
          <w:sz w:val="24"/>
          <w:szCs w:val="24"/>
        </w:rPr>
        <w:t>”</w:t>
      </w:r>
      <w:r w:rsidR="00416083" w:rsidRPr="00273D24">
        <w:rPr>
          <w:rFonts w:ascii="Times New Roman" w:hAnsi="Times New Roman" w:cs="Times New Roman"/>
          <w:sz w:val="24"/>
          <w:szCs w:val="24"/>
        </w:rPr>
        <w:t xml:space="preserve"> to the public from, among other things,</w:t>
      </w:r>
      <w:r w:rsidR="00F54890" w:rsidRPr="00273D24">
        <w:rPr>
          <w:rFonts w:ascii="Times New Roman" w:hAnsi="Times New Roman" w:cs="Times New Roman"/>
          <w:sz w:val="24"/>
          <w:szCs w:val="24"/>
        </w:rPr>
        <w:t xml:space="preserve"> knowingly divulging</w:t>
      </w:r>
      <w:r w:rsidR="00166645" w:rsidRPr="00273D24">
        <w:rPr>
          <w:rFonts w:ascii="Times New Roman" w:hAnsi="Times New Roman" w:cs="Times New Roman"/>
          <w:sz w:val="24"/>
          <w:szCs w:val="24"/>
        </w:rPr>
        <w:t xml:space="preserve"> “to any person or entity the contents of a communication while in electronic storage by that service.”</w:t>
      </w:r>
      <w:r w:rsidR="00166645" w:rsidRPr="00273D24">
        <w:rPr>
          <w:rStyle w:val="FootnoteReference"/>
          <w:rFonts w:ascii="Times New Roman" w:hAnsi="Times New Roman" w:cs="Times New Roman"/>
          <w:sz w:val="24"/>
          <w:szCs w:val="24"/>
        </w:rPr>
        <w:footnoteReference w:id="110"/>
      </w:r>
      <w:r w:rsidR="00393D31" w:rsidRPr="00273D24">
        <w:rPr>
          <w:rFonts w:ascii="Times New Roman" w:hAnsi="Times New Roman" w:cs="Times New Roman"/>
          <w:sz w:val="24"/>
          <w:szCs w:val="24"/>
        </w:rPr>
        <w:t xml:space="preserve">  The SCA further prohibits a provider of a “remote computing service or electronic communication service” from knowingly divulging “a record or other information pertaining to a subscriber to or customer of such service.”</w:t>
      </w:r>
      <w:r w:rsidR="00393D31" w:rsidRPr="00273D24">
        <w:rPr>
          <w:rStyle w:val="FootnoteReference"/>
          <w:rFonts w:ascii="Times New Roman" w:hAnsi="Times New Roman" w:cs="Times New Roman"/>
          <w:sz w:val="24"/>
          <w:szCs w:val="24"/>
        </w:rPr>
        <w:footnoteReference w:id="111"/>
      </w:r>
      <w:r w:rsidR="009A018E" w:rsidRPr="00273D24">
        <w:rPr>
          <w:rFonts w:ascii="Times New Roman" w:hAnsi="Times New Roman" w:cs="Times New Roman"/>
          <w:sz w:val="24"/>
          <w:szCs w:val="24"/>
        </w:rPr>
        <w:t xml:space="preserve">  </w:t>
      </w:r>
      <w:r w:rsidR="00860519" w:rsidRPr="00273D24">
        <w:rPr>
          <w:rFonts w:ascii="Times New Roman" w:hAnsi="Times New Roman" w:cs="Times New Roman"/>
          <w:sz w:val="24"/>
          <w:szCs w:val="24"/>
        </w:rPr>
        <w:t>Thus, the SCA “creates a set of Fourth Amendment-like privacy protections by statute, r</w:t>
      </w:r>
      <w:r w:rsidR="009A018E" w:rsidRPr="00273D24">
        <w:rPr>
          <w:rFonts w:ascii="Times New Roman" w:hAnsi="Times New Roman" w:cs="Times New Roman"/>
          <w:sz w:val="24"/>
          <w:szCs w:val="24"/>
        </w:rPr>
        <w:t xml:space="preserve">egulating . . . </w:t>
      </w:r>
      <w:r w:rsidR="00860519" w:rsidRPr="00273D24">
        <w:rPr>
          <w:rFonts w:ascii="Times New Roman" w:hAnsi="Times New Roman" w:cs="Times New Roman"/>
          <w:sz w:val="24"/>
          <w:szCs w:val="24"/>
        </w:rPr>
        <w:t>service providers in possession of users’ private information.”</w:t>
      </w:r>
      <w:r w:rsidR="00860519" w:rsidRPr="00273D24">
        <w:rPr>
          <w:rStyle w:val="FootnoteReference"/>
          <w:rFonts w:ascii="Times New Roman" w:hAnsi="Times New Roman" w:cs="Times New Roman"/>
          <w:sz w:val="24"/>
          <w:szCs w:val="24"/>
        </w:rPr>
        <w:footnoteReference w:id="112"/>
      </w:r>
      <w:r w:rsidR="008751CB" w:rsidRPr="00273D24">
        <w:rPr>
          <w:rFonts w:ascii="Times New Roman" w:hAnsi="Times New Roman" w:cs="Times New Roman"/>
          <w:sz w:val="24"/>
          <w:szCs w:val="24"/>
        </w:rPr>
        <w:t xml:space="preserve">  Despite the fact that it was enacted long before the advent of social media, the SCA now finds itself squarely at the center of the battlefield between social </w:t>
      </w:r>
      <w:r w:rsidR="008751CB" w:rsidRPr="00273D24">
        <w:rPr>
          <w:rFonts w:ascii="Times New Roman" w:hAnsi="Times New Roman" w:cs="Times New Roman"/>
          <w:sz w:val="24"/>
          <w:szCs w:val="24"/>
        </w:rPr>
        <w:lastRenderedPageBreak/>
        <w:t>media companies and litigants who seek to obtain information from them.  The ongoing battle is demonstrated by the following case.</w:t>
      </w:r>
      <w:r w:rsidR="00981549" w:rsidRPr="00273D24">
        <w:rPr>
          <w:rFonts w:ascii="Times New Roman" w:hAnsi="Times New Roman" w:cs="Times New Roman"/>
          <w:sz w:val="24"/>
          <w:szCs w:val="24"/>
        </w:rPr>
        <w:t xml:space="preserve"> </w:t>
      </w:r>
    </w:p>
    <w:p w14:paraId="1C06C48C" w14:textId="77777777" w:rsidR="0030459C" w:rsidRPr="00273D24" w:rsidRDefault="00F54890" w:rsidP="00013AE8">
      <w:pPr>
        <w:spacing w:after="0" w:line="480" w:lineRule="auto"/>
        <w:jc w:val="both"/>
        <w:rPr>
          <w:rFonts w:ascii="Times New Roman" w:hAnsi="Times New Roman" w:cs="Times New Roman"/>
          <w:sz w:val="24"/>
          <w:szCs w:val="24"/>
        </w:rPr>
      </w:pPr>
      <w:r w:rsidRPr="00273D24">
        <w:rPr>
          <w:rFonts w:ascii="Times New Roman" w:hAnsi="Times New Roman" w:cs="Times New Roman"/>
          <w:sz w:val="24"/>
          <w:szCs w:val="24"/>
        </w:rPr>
        <w:tab/>
        <w:t xml:space="preserve">In </w:t>
      </w:r>
      <w:r w:rsidRPr="00273D24">
        <w:rPr>
          <w:rFonts w:ascii="Times New Roman" w:hAnsi="Times New Roman" w:cs="Times New Roman"/>
          <w:sz w:val="24"/>
          <w:szCs w:val="24"/>
          <w:u w:val="single"/>
        </w:rPr>
        <w:t>Crispin v. Christian Audigier, Inc.</w:t>
      </w:r>
      <w:r w:rsidR="00DD07E1" w:rsidRPr="00273D24">
        <w:rPr>
          <w:rFonts w:ascii="Times New Roman" w:hAnsi="Times New Roman" w:cs="Times New Roman"/>
          <w:sz w:val="24"/>
          <w:szCs w:val="24"/>
          <w:u w:val="single"/>
        </w:rPr>
        <w:t xml:space="preserve">, </w:t>
      </w:r>
      <w:r w:rsidR="00DD07E1" w:rsidRPr="00273D24">
        <w:rPr>
          <w:rFonts w:ascii="Times New Roman" w:hAnsi="Times New Roman" w:cs="Times New Roman"/>
          <w:i/>
          <w:sz w:val="24"/>
          <w:szCs w:val="24"/>
          <w:u w:val="single"/>
        </w:rPr>
        <w:t>et al.</w:t>
      </w:r>
      <w:r w:rsidRPr="00273D24">
        <w:rPr>
          <w:rFonts w:ascii="Times New Roman" w:hAnsi="Times New Roman" w:cs="Times New Roman"/>
          <w:sz w:val="24"/>
          <w:szCs w:val="24"/>
        </w:rPr>
        <w:t xml:space="preserve">, </w:t>
      </w:r>
      <w:r w:rsidR="00DD07E1" w:rsidRPr="00273D24">
        <w:rPr>
          <w:rFonts w:ascii="Times New Roman" w:hAnsi="Times New Roman" w:cs="Times New Roman"/>
          <w:sz w:val="24"/>
          <w:szCs w:val="24"/>
        </w:rPr>
        <w:t>plaintiff filed suit against various licensees and sublicen</w:t>
      </w:r>
      <w:r w:rsidR="00C4429F" w:rsidRPr="00273D24">
        <w:rPr>
          <w:rFonts w:ascii="Times New Roman" w:hAnsi="Times New Roman" w:cs="Times New Roman"/>
          <w:sz w:val="24"/>
          <w:szCs w:val="24"/>
        </w:rPr>
        <w:t xml:space="preserve">sees for breach of contract, </w:t>
      </w:r>
      <w:r w:rsidR="00DD07E1" w:rsidRPr="00273D24">
        <w:rPr>
          <w:rFonts w:ascii="Times New Roman" w:hAnsi="Times New Roman" w:cs="Times New Roman"/>
          <w:sz w:val="24"/>
          <w:szCs w:val="24"/>
        </w:rPr>
        <w:t>copyright infringement</w:t>
      </w:r>
      <w:r w:rsidR="00C4429F" w:rsidRPr="00273D24">
        <w:rPr>
          <w:rFonts w:ascii="Times New Roman" w:hAnsi="Times New Roman" w:cs="Times New Roman"/>
          <w:sz w:val="24"/>
          <w:szCs w:val="24"/>
        </w:rPr>
        <w:t xml:space="preserve">, and other claims related </w:t>
      </w:r>
      <w:r w:rsidR="00BD4885" w:rsidRPr="00273D24">
        <w:rPr>
          <w:rFonts w:ascii="Times New Roman" w:hAnsi="Times New Roman" w:cs="Times New Roman"/>
          <w:sz w:val="24"/>
          <w:szCs w:val="24"/>
        </w:rPr>
        <w:t xml:space="preserve">to </w:t>
      </w:r>
      <w:r w:rsidR="00C4429F" w:rsidRPr="00273D24">
        <w:rPr>
          <w:rFonts w:ascii="Times New Roman" w:hAnsi="Times New Roman" w:cs="Times New Roman"/>
          <w:sz w:val="24"/>
          <w:szCs w:val="24"/>
        </w:rPr>
        <w:t>their use of his</w:t>
      </w:r>
      <w:r w:rsidR="00DD07E1" w:rsidRPr="00273D24">
        <w:rPr>
          <w:rFonts w:ascii="Times New Roman" w:hAnsi="Times New Roman" w:cs="Times New Roman"/>
          <w:sz w:val="24"/>
          <w:szCs w:val="24"/>
        </w:rPr>
        <w:t xml:space="preserve"> artistic works.</w:t>
      </w:r>
      <w:r w:rsidR="005553B1" w:rsidRPr="00273D24">
        <w:rPr>
          <w:rStyle w:val="FootnoteReference"/>
          <w:rFonts w:ascii="Times New Roman" w:hAnsi="Times New Roman" w:cs="Times New Roman"/>
          <w:sz w:val="24"/>
          <w:szCs w:val="24"/>
        </w:rPr>
        <w:footnoteReference w:id="113"/>
      </w:r>
      <w:r w:rsidR="00DD07E1" w:rsidRPr="00273D24">
        <w:rPr>
          <w:rFonts w:ascii="Times New Roman" w:hAnsi="Times New Roman" w:cs="Times New Roman"/>
          <w:sz w:val="24"/>
          <w:szCs w:val="24"/>
        </w:rPr>
        <w:t xml:space="preserve">  During discovery, defendants served subpoenas upon Facebook and MySpace aimed at obtaining plaintiff’s subscriber information and communications </w:t>
      </w:r>
      <w:r w:rsidR="00C4429F" w:rsidRPr="00273D24">
        <w:rPr>
          <w:rFonts w:ascii="Times New Roman" w:hAnsi="Times New Roman" w:cs="Times New Roman"/>
          <w:sz w:val="24"/>
          <w:szCs w:val="24"/>
        </w:rPr>
        <w:t>conducted through those social media services</w:t>
      </w:r>
      <w:r w:rsidR="005553B1" w:rsidRPr="00273D24">
        <w:rPr>
          <w:rFonts w:ascii="Times New Roman" w:hAnsi="Times New Roman" w:cs="Times New Roman"/>
          <w:sz w:val="24"/>
          <w:szCs w:val="24"/>
        </w:rPr>
        <w:t>.</w:t>
      </w:r>
      <w:r w:rsidR="005553B1" w:rsidRPr="00273D24">
        <w:rPr>
          <w:rStyle w:val="FootnoteReference"/>
          <w:rFonts w:ascii="Times New Roman" w:hAnsi="Times New Roman" w:cs="Times New Roman"/>
          <w:sz w:val="24"/>
          <w:szCs w:val="24"/>
        </w:rPr>
        <w:footnoteReference w:id="114"/>
      </w:r>
      <w:r w:rsidR="003305DF" w:rsidRPr="00273D24">
        <w:rPr>
          <w:rFonts w:ascii="Times New Roman" w:hAnsi="Times New Roman" w:cs="Times New Roman"/>
          <w:sz w:val="24"/>
          <w:szCs w:val="24"/>
        </w:rPr>
        <w:t xml:space="preserve">  Plaintiff moved </w:t>
      </w:r>
      <w:r w:rsidR="003305DF" w:rsidRPr="00273D24">
        <w:rPr>
          <w:rFonts w:ascii="Times New Roman" w:hAnsi="Times New Roman" w:cs="Times New Roman"/>
          <w:i/>
          <w:sz w:val="24"/>
          <w:szCs w:val="24"/>
        </w:rPr>
        <w:t xml:space="preserve">ex parte </w:t>
      </w:r>
      <w:r w:rsidR="005553B1" w:rsidRPr="00273D24">
        <w:rPr>
          <w:rFonts w:ascii="Times New Roman" w:hAnsi="Times New Roman" w:cs="Times New Roman"/>
          <w:sz w:val="24"/>
          <w:szCs w:val="24"/>
        </w:rPr>
        <w:t xml:space="preserve">to quash </w:t>
      </w:r>
      <w:r w:rsidR="00B66481" w:rsidRPr="00273D24">
        <w:rPr>
          <w:rFonts w:ascii="Times New Roman" w:hAnsi="Times New Roman" w:cs="Times New Roman"/>
          <w:sz w:val="24"/>
          <w:szCs w:val="24"/>
        </w:rPr>
        <w:t>defendants’ subpoenas on the ground that they were prohibited under the SCA.</w:t>
      </w:r>
      <w:r w:rsidR="00B66481" w:rsidRPr="00273D24">
        <w:rPr>
          <w:rStyle w:val="FootnoteReference"/>
          <w:rFonts w:ascii="Times New Roman" w:hAnsi="Times New Roman" w:cs="Times New Roman"/>
          <w:sz w:val="24"/>
          <w:szCs w:val="24"/>
        </w:rPr>
        <w:footnoteReference w:id="115"/>
      </w:r>
      <w:r w:rsidR="00B66481" w:rsidRPr="00273D24">
        <w:rPr>
          <w:rFonts w:ascii="Times New Roman" w:hAnsi="Times New Roman" w:cs="Times New Roman"/>
          <w:sz w:val="24"/>
          <w:szCs w:val="24"/>
        </w:rPr>
        <w:t xml:space="preserve">  After finding that plaintiff </w:t>
      </w:r>
      <w:r w:rsidR="0005260A" w:rsidRPr="00273D24">
        <w:rPr>
          <w:rFonts w:ascii="Times New Roman" w:hAnsi="Times New Roman" w:cs="Times New Roman"/>
          <w:sz w:val="24"/>
          <w:szCs w:val="24"/>
        </w:rPr>
        <w:t>could properly</w:t>
      </w:r>
      <w:r w:rsidR="00B66481" w:rsidRPr="00273D24">
        <w:rPr>
          <w:rFonts w:ascii="Times New Roman" w:hAnsi="Times New Roman" w:cs="Times New Roman"/>
          <w:sz w:val="24"/>
          <w:szCs w:val="24"/>
        </w:rPr>
        <w:t xml:space="preserve"> challenge the subpoenas based on his interest in the communications sought, </w:t>
      </w:r>
      <w:r w:rsidR="000173D0" w:rsidRPr="00273D24">
        <w:rPr>
          <w:rFonts w:ascii="Times New Roman" w:hAnsi="Times New Roman" w:cs="Times New Roman"/>
          <w:sz w:val="24"/>
          <w:szCs w:val="24"/>
        </w:rPr>
        <w:t>the district court held that</w:t>
      </w:r>
      <w:r w:rsidR="0030459C" w:rsidRPr="00273D24">
        <w:rPr>
          <w:rFonts w:ascii="Times New Roman" w:hAnsi="Times New Roman" w:cs="Times New Roman"/>
          <w:sz w:val="24"/>
          <w:szCs w:val="24"/>
        </w:rPr>
        <w:t xml:space="preserve"> Facebook and MySpace were each considered a “remote computing service” and a “electronic communications service” based upon </w:t>
      </w:r>
      <w:r w:rsidR="000173D0" w:rsidRPr="00273D24">
        <w:rPr>
          <w:rFonts w:ascii="Times New Roman" w:hAnsi="Times New Roman" w:cs="Times New Roman"/>
          <w:sz w:val="24"/>
          <w:szCs w:val="24"/>
        </w:rPr>
        <w:t>the nature of the messa</w:t>
      </w:r>
      <w:r w:rsidR="00835B65" w:rsidRPr="00273D24">
        <w:rPr>
          <w:rFonts w:ascii="Times New Roman" w:hAnsi="Times New Roman" w:cs="Times New Roman"/>
          <w:sz w:val="24"/>
          <w:szCs w:val="24"/>
        </w:rPr>
        <w:t>ging</w:t>
      </w:r>
      <w:r w:rsidR="000173D0" w:rsidRPr="00273D24">
        <w:rPr>
          <w:rFonts w:ascii="Times New Roman" w:hAnsi="Times New Roman" w:cs="Times New Roman"/>
          <w:sz w:val="24"/>
          <w:szCs w:val="24"/>
        </w:rPr>
        <w:t xml:space="preserve"> services offered by Facebook and MySpace</w:t>
      </w:r>
      <w:r w:rsidR="0005260A" w:rsidRPr="00273D24">
        <w:rPr>
          <w:rFonts w:ascii="Times New Roman" w:hAnsi="Times New Roman" w:cs="Times New Roman"/>
          <w:sz w:val="24"/>
          <w:szCs w:val="24"/>
        </w:rPr>
        <w:t>, both private and public</w:t>
      </w:r>
      <w:r w:rsidR="0030459C" w:rsidRPr="00273D24">
        <w:rPr>
          <w:rFonts w:ascii="Times New Roman" w:hAnsi="Times New Roman" w:cs="Times New Roman"/>
          <w:sz w:val="24"/>
          <w:szCs w:val="24"/>
        </w:rPr>
        <w:t>.</w:t>
      </w:r>
      <w:r w:rsidR="0030459C" w:rsidRPr="00273D24">
        <w:rPr>
          <w:rStyle w:val="FootnoteReference"/>
          <w:rFonts w:ascii="Times New Roman" w:hAnsi="Times New Roman" w:cs="Times New Roman"/>
          <w:sz w:val="24"/>
          <w:szCs w:val="24"/>
        </w:rPr>
        <w:footnoteReference w:id="116"/>
      </w:r>
      <w:r w:rsidR="00C4429F" w:rsidRPr="00273D24">
        <w:rPr>
          <w:rFonts w:ascii="Times New Roman" w:hAnsi="Times New Roman" w:cs="Times New Roman"/>
          <w:sz w:val="24"/>
          <w:szCs w:val="24"/>
        </w:rPr>
        <w:t xml:space="preserve">  Therefore, Facebook and </w:t>
      </w:r>
      <w:r w:rsidR="002E29CA" w:rsidRPr="00273D24">
        <w:rPr>
          <w:rFonts w:ascii="Times New Roman" w:hAnsi="Times New Roman" w:cs="Times New Roman"/>
          <w:sz w:val="24"/>
          <w:szCs w:val="24"/>
        </w:rPr>
        <w:t>MySpace were subject to the entire scope of the protections and prohibitions of the SCA.  As such, the subpoenas were quashed</w:t>
      </w:r>
      <w:r w:rsidR="00BD4885" w:rsidRPr="00273D24">
        <w:rPr>
          <w:rFonts w:ascii="Times New Roman" w:hAnsi="Times New Roman" w:cs="Times New Roman"/>
          <w:sz w:val="24"/>
          <w:szCs w:val="24"/>
        </w:rPr>
        <w:t>,</w:t>
      </w:r>
      <w:r w:rsidR="002E29CA" w:rsidRPr="00273D24">
        <w:rPr>
          <w:rFonts w:ascii="Times New Roman" w:hAnsi="Times New Roman" w:cs="Times New Roman"/>
          <w:sz w:val="24"/>
          <w:szCs w:val="24"/>
        </w:rPr>
        <w:t xml:space="preserve"> and the social media sites were relieved from the obligation of producing the information requested.</w:t>
      </w:r>
      <w:r w:rsidR="002E29CA" w:rsidRPr="00273D24">
        <w:rPr>
          <w:rStyle w:val="FootnoteReference"/>
          <w:rFonts w:ascii="Times New Roman" w:hAnsi="Times New Roman" w:cs="Times New Roman"/>
          <w:sz w:val="24"/>
          <w:szCs w:val="24"/>
        </w:rPr>
        <w:footnoteReference w:id="117"/>
      </w:r>
    </w:p>
    <w:p w14:paraId="4AAEE28F" w14:textId="77777777" w:rsidR="00E22EE7" w:rsidRPr="00273D24" w:rsidRDefault="009306A8" w:rsidP="00E22EE7">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 xml:space="preserve">As </w:t>
      </w:r>
      <w:r w:rsidR="00BD4885" w:rsidRPr="00273D24">
        <w:rPr>
          <w:rFonts w:ascii="Times New Roman" w:hAnsi="Times New Roman" w:cs="Times New Roman"/>
          <w:sz w:val="24"/>
          <w:szCs w:val="24"/>
        </w:rPr>
        <w:t xml:space="preserve">in </w:t>
      </w:r>
      <w:r w:rsidRPr="00273D24">
        <w:rPr>
          <w:rFonts w:ascii="Times New Roman" w:hAnsi="Times New Roman" w:cs="Times New Roman"/>
          <w:sz w:val="24"/>
          <w:szCs w:val="24"/>
          <w:u w:val="single"/>
        </w:rPr>
        <w:t>Crispin</w:t>
      </w:r>
      <w:r w:rsidRPr="00273D24">
        <w:rPr>
          <w:rFonts w:ascii="Times New Roman" w:hAnsi="Times New Roman" w:cs="Times New Roman"/>
          <w:sz w:val="24"/>
          <w:szCs w:val="24"/>
        </w:rPr>
        <w:t xml:space="preserve">, social media companies </w:t>
      </w:r>
      <w:r w:rsidR="0036293C" w:rsidRPr="00273D24">
        <w:rPr>
          <w:rFonts w:ascii="Times New Roman" w:hAnsi="Times New Roman" w:cs="Times New Roman"/>
          <w:sz w:val="24"/>
          <w:szCs w:val="24"/>
        </w:rPr>
        <w:t xml:space="preserve">now </w:t>
      </w:r>
      <w:r w:rsidR="00BD4885" w:rsidRPr="00273D24">
        <w:rPr>
          <w:rFonts w:ascii="Times New Roman" w:hAnsi="Times New Roman" w:cs="Times New Roman"/>
          <w:sz w:val="24"/>
          <w:szCs w:val="24"/>
        </w:rPr>
        <w:t xml:space="preserve">use </w:t>
      </w:r>
      <w:r w:rsidRPr="00273D24">
        <w:rPr>
          <w:rFonts w:ascii="Times New Roman" w:hAnsi="Times New Roman" w:cs="Times New Roman"/>
          <w:sz w:val="24"/>
          <w:szCs w:val="24"/>
        </w:rPr>
        <w:t>the SCA to fend off a potential tidal wave of third-party subpoenas aimed towards user information.</w:t>
      </w:r>
      <w:r w:rsidRPr="00273D24">
        <w:rPr>
          <w:rStyle w:val="FootnoteReference"/>
          <w:rFonts w:ascii="Times New Roman" w:hAnsi="Times New Roman" w:cs="Times New Roman"/>
          <w:sz w:val="24"/>
          <w:szCs w:val="24"/>
        </w:rPr>
        <w:footnoteReference w:id="118"/>
      </w:r>
      <w:r w:rsidR="00E81930" w:rsidRPr="00273D24">
        <w:rPr>
          <w:rFonts w:ascii="Times New Roman" w:hAnsi="Times New Roman" w:cs="Times New Roman"/>
          <w:sz w:val="24"/>
          <w:szCs w:val="24"/>
        </w:rPr>
        <w:t xml:space="preserve">  It is yet to be determined how such protection may exist in the future</w:t>
      </w:r>
      <w:r w:rsidR="0036293C" w:rsidRPr="00273D24">
        <w:rPr>
          <w:rFonts w:ascii="Times New Roman" w:hAnsi="Times New Roman" w:cs="Times New Roman"/>
          <w:sz w:val="24"/>
          <w:szCs w:val="24"/>
        </w:rPr>
        <w:t xml:space="preserve"> </w:t>
      </w:r>
      <w:r w:rsidR="008B24A0" w:rsidRPr="00273D24">
        <w:rPr>
          <w:rFonts w:ascii="Times New Roman" w:hAnsi="Times New Roman" w:cs="Times New Roman"/>
          <w:sz w:val="24"/>
          <w:szCs w:val="24"/>
        </w:rPr>
        <w:t>because</w:t>
      </w:r>
      <w:r w:rsidR="00E81930" w:rsidRPr="00273D24">
        <w:rPr>
          <w:rFonts w:ascii="Times New Roman" w:hAnsi="Times New Roman" w:cs="Times New Roman"/>
          <w:sz w:val="24"/>
          <w:szCs w:val="24"/>
        </w:rPr>
        <w:t xml:space="preserve">, as the </w:t>
      </w:r>
      <w:r w:rsidR="00E81930" w:rsidRPr="00273D24">
        <w:rPr>
          <w:rFonts w:ascii="Times New Roman" w:hAnsi="Times New Roman" w:cs="Times New Roman"/>
          <w:sz w:val="24"/>
          <w:szCs w:val="24"/>
          <w:u w:val="single"/>
        </w:rPr>
        <w:t>Crispin</w:t>
      </w:r>
      <w:r w:rsidR="00E81930" w:rsidRPr="00273D24">
        <w:rPr>
          <w:rFonts w:ascii="Times New Roman" w:hAnsi="Times New Roman" w:cs="Times New Roman"/>
          <w:sz w:val="24"/>
          <w:szCs w:val="24"/>
        </w:rPr>
        <w:t xml:space="preserve"> court recognized</w:t>
      </w:r>
      <w:r w:rsidR="0036293C" w:rsidRPr="00273D24">
        <w:rPr>
          <w:rFonts w:ascii="Times New Roman" w:hAnsi="Times New Roman" w:cs="Times New Roman"/>
          <w:sz w:val="24"/>
          <w:szCs w:val="24"/>
        </w:rPr>
        <w:t>, there is</w:t>
      </w:r>
      <w:r w:rsidR="00E81930" w:rsidRPr="00273D24">
        <w:rPr>
          <w:rFonts w:ascii="Times New Roman" w:hAnsi="Times New Roman" w:cs="Times New Roman"/>
          <w:sz w:val="24"/>
          <w:szCs w:val="24"/>
        </w:rPr>
        <w:t xml:space="preserve"> a “difficulty in interpreting the [SCA, which] is compounded by the fact that [it] was written prior to the </w:t>
      </w:r>
      <w:r w:rsidR="00E81930" w:rsidRPr="00273D24">
        <w:rPr>
          <w:rFonts w:ascii="Times New Roman" w:hAnsi="Times New Roman" w:cs="Times New Roman"/>
          <w:sz w:val="24"/>
          <w:szCs w:val="24"/>
        </w:rPr>
        <w:lastRenderedPageBreak/>
        <w:t>advent of the Internet and the World Wide Web.”</w:t>
      </w:r>
      <w:r w:rsidR="00E81930" w:rsidRPr="00273D24">
        <w:rPr>
          <w:rStyle w:val="FootnoteReference"/>
          <w:rFonts w:ascii="Times New Roman" w:hAnsi="Times New Roman" w:cs="Times New Roman"/>
          <w:sz w:val="24"/>
          <w:szCs w:val="24"/>
        </w:rPr>
        <w:footnoteReference w:id="119"/>
      </w:r>
      <w:r w:rsidR="0036293C" w:rsidRPr="00273D24">
        <w:rPr>
          <w:rFonts w:ascii="Times New Roman" w:hAnsi="Times New Roman" w:cs="Times New Roman"/>
          <w:sz w:val="24"/>
          <w:szCs w:val="24"/>
        </w:rPr>
        <w:t xml:space="preserve">  That court also pointed to the Ninth Circuit’s observation that “until Congress brings the laws in line with modern technology, protection of the Internet and [social media websites] will remain a confusing and uncertain area of the law.”</w:t>
      </w:r>
      <w:r w:rsidR="0036293C" w:rsidRPr="00273D24">
        <w:rPr>
          <w:rStyle w:val="FootnoteReference"/>
          <w:rFonts w:ascii="Times New Roman" w:hAnsi="Times New Roman" w:cs="Times New Roman"/>
          <w:sz w:val="24"/>
          <w:szCs w:val="24"/>
        </w:rPr>
        <w:footnoteReference w:id="120"/>
      </w:r>
      <w:r w:rsidR="00D960E2" w:rsidRPr="00273D24">
        <w:rPr>
          <w:rFonts w:ascii="Times New Roman" w:hAnsi="Times New Roman" w:cs="Times New Roman"/>
          <w:sz w:val="24"/>
          <w:szCs w:val="24"/>
        </w:rPr>
        <w:t xml:space="preserve">  Despite this guidance, the SCA remains in effect as of the date of this paper and litigants must remain mindful of the roadblocks it imposes upon them in seeking user information and communications.</w:t>
      </w:r>
    </w:p>
    <w:p w14:paraId="32366E87" w14:textId="77777777" w:rsidR="00E22EE7" w:rsidRPr="00273D24" w:rsidRDefault="00E22EE7" w:rsidP="00840CE8">
      <w:pPr>
        <w:spacing w:after="0" w:line="480" w:lineRule="auto"/>
        <w:ind w:firstLine="720"/>
        <w:jc w:val="both"/>
        <w:rPr>
          <w:rFonts w:ascii="Times New Roman" w:hAnsi="Times New Roman" w:cs="Times New Roman"/>
          <w:b/>
          <w:sz w:val="24"/>
          <w:szCs w:val="24"/>
          <w:u w:val="single"/>
        </w:rPr>
      </w:pPr>
      <w:r w:rsidRPr="00273D24">
        <w:rPr>
          <w:rFonts w:ascii="Times New Roman" w:hAnsi="Times New Roman" w:cs="Times New Roman"/>
          <w:b/>
          <w:sz w:val="24"/>
          <w:szCs w:val="24"/>
        </w:rPr>
        <w:t>2.</w:t>
      </w:r>
      <w:r w:rsidRPr="00273D24">
        <w:rPr>
          <w:rFonts w:ascii="Times New Roman" w:hAnsi="Times New Roman" w:cs="Times New Roman"/>
          <w:b/>
          <w:sz w:val="24"/>
          <w:szCs w:val="24"/>
        </w:rPr>
        <w:tab/>
      </w:r>
      <w:r w:rsidRPr="00273D24">
        <w:rPr>
          <w:rFonts w:ascii="Times New Roman" w:hAnsi="Times New Roman" w:cs="Times New Roman"/>
          <w:b/>
          <w:sz w:val="24"/>
          <w:szCs w:val="24"/>
          <w:u w:val="single"/>
        </w:rPr>
        <w:t>Issues Related to Facebook Evidence</w:t>
      </w:r>
    </w:p>
    <w:p w14:paraId="6D3AFE11" w14:textId="77777777" w:rsidR="00BA5E81" w:rsidRPr="00273D24" w:rsidRDefault="00BA5E81" w:rsidP="00840CE8">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 xml:space="preserve">As one of the most popular social media platforms, Facebook is full of fodder for a prudent litigator.  Although Facebook may challenge a Subpoena, an artful discovery request can </w:t>
      </w:r>
      <w:r w:rsidR="006B2FCB" w:rsidRPr="00273D24">
        <w:rPr>
          <w:rFonts w:ascii="Times New Roman" w:hAnsi="Times New Roman" w:cs="Times New Roman"/>
          <w:sz w:val="24"/>
          <w:szCs w:val="24"/>
        </w:rPr>
        <w:t>lead to the same information. That said, litigators must tread carefully through these uncharted waters.</w:t>
      </w:r>
    </w:p>
    <w:p w14:paraId="0B31C7E4" w14:textId="77777777" w:rsidR="006B2FCB" w:rsidRPr="00273D24" w:rsidRDefault="006B2FCB" w:rsidP="00840CE8">
      <w:pPr>
        <w:spacing w:after="0" w:line="480" w:lineRule="auto"/>
        <w:ind w:firstLine="720"/>
        <w:jc w:val="both"/>
        <w:rPr>
          <w:rFonts w:ascii="Times New Roman" w:hAnsi="Times New Roman" w:cs="Times New Roman"/>
          <w:b/>
          <w:sz w:val="24"/>
          <w:szCs w:val="24"/>
        </w:rPr>
      </w:pPr>
      <w:r w:rsidRPr="00273D24">
        <w:rPr>
          <w:rFonts w:ascii="Times New Roman" w:hAnsi="Times New Roman" w:cs="Times New Roman"/>
          <w:sz w:val="24"/>
          <w:szCs w:val="24"/>
        </w:rPr>
        <w:tab/>
      </w:r>
      <w:r w:rsidRPr="00273D24">
        <w:rPr>
          <w:rFonts w:ascii="Times New Roman" w:hAnsi="Times New Roman" w:cs="Times New Roman"/>
          <w:b/>
          <w:sz w:val="24"/>
          <w:szCs w:val="24"/>
        </w:rPr>
        <w:t>a.</w:t>
      </w:r>
      <w:r w:rsidRPr="00273D24">
        <w:rPr>
          <w:rFonts w:ascii="Times New Roman" w:hAnsi="Times New Roman" w:cs="Times New Roman"/>
          <w:b/>
          <w:sz w:val="24"/>
          <w:szCs w:val="24"/>
        </w:rPr>
        <w:tab/>
      </w:r>
      <w:r w:rsidRPr="00273D24">
        <w:rPr>
          <w:rFonts w:ascii="Times New Roman" w:hAnsi="Times New Roman" w:cs="Times New Roman"/>
          <w:b/>
          <w:sz w:val="24"/>
          <w:szCs w:val="24"/>
          <w:u w:val="single"/>
        </w:rPr>
        <w:t>The Archive Feature</w:t>
      </w:r>
    </w:p>
    <w:p w14:paraId="0FCE3718" w14:textId="77777777" w:rsidR="006B2FCB" w:rsidRPr="00273D24" w:rsidRDefault="00F21F2C" w:rsidP="006B2FCB">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 xml:space="preserve">Facebook </w:t>
      </w:r>
      <w:r w:rsidR="0033462F" w:rsidRPr="00273D24">
        <w:rPr>
          <w:rFonts w:ascii="Times New Roman" w:hAnsi="Times New Roman" w:cs="Times New Roman"/>
          <w:sz w:val="24"/>
          <w:szCs w:val="24"/>
        </w:rPr>
        <w:t>created an “archive”</w:t>
      </w:r>
      <w:r w:rsidR="009F0A91" w:rsidRPr="00273D24">
        <w:rPr>
          <w:rFonts w:ascii="Times New Roman" w:hAnsi="Times New Roman" w:cs="Times New Roman"/>
          <w:sz w:val="24"/>
          <w:szCs w:val="24"/>
        </w:rPr>
        <w:t xml:space="preserve"> feature which</w:t>
      </w:r>
      <w:r w:rsidR="0033462F" w:rsidRPr="00273D24">
        <w:rPr>
          <w:rFonts w:ascii="Times New Roman" w:hAnsi="Times New Roman" w:cs="Times New Roman"/>
          <w:sz w:val="24"/>
          <w:szCs w:val="24"/>
        </w:rPr>
        <w:t xml:space="preserve"> allows users </w:t>
      </w:r>
      <w:r w:rsidRPr="00273D24">
        <w:rPr>
          <w:rFonts w:ascii="Times New Roman" w:hAnsi="Times New Roman" w:cs="Times New Roman"/>
          <w:sz w:val="24"/>
          <w:szCs w:val="24"/>
        </w:rPr>
        <w:t>to easily download their Facebook “data” into one central file.</w:t>
      </w:r>
      <w:r w:rsidR="000B3657" w:rsidRPr="00273D24">
        <w:rPr>
          <w:rStyle w:val="FootnoteReference"/>
          <w:rFonts w:ascii="Times New Roman" w:hAnsi="Times New Roman" w:cs="Times New Roman"/>
          <w:sz w:val="24"/>
          <w:szCs w:val="24"/>
        </w:rPr>
        <w:footnoteReference w:id="121"/>
      </w:r>
      <w:r w:rsidRPr="00273D24">
        <w:rPr>
          <w:rFonts w:ascii="Times New Roman" w:hAnsi="Times New Roman" w:cs="Times New Roman"/>
          <w:sz w:val="24"/>
          <w:szCs w:val="24"/>
        </w:rPr>
        <w:t xml:space="preserve">  The data included i</w:t>
      </w:r>
      <w:r w:rsidR="002319BD" w:rsidRPr="00273D24">
        <w:rPr>
          <w:rFonts w:ascii="Times New Roman" w:hAnsi="Times New Roman" w:cs="Times New Roman"/>
          <w:sz w:val="24"/>
          <w:szCs w:val="24"/>
        </w:rPr>
        <w:t xml:space="preserve">n this archive includes nearly every </w:t>
      </w:r>
      <w:r w:rsidRPr="00273D24">
        <w:rPr>
          <w:rFonts w:ascii="Times New Roman" w:hAnsi="Times New Roman" w:cs="Times New Roman"/>
          <w:sz w:val="24"/>
          <w:szCs w:val="24"/>
        </w:rPr>
        <w:t>acti</w:t>
      </w:r>
      <w:r w:rsidR="002319BD" w:rsidRPr="00273D24">
        <w:rPr>
          <w:rFonts w:ascii="Times New Roman" w:hAnsi="Times New Roman" w:cs="Times New Roman"/>
          <w:sz w:val="24"/>
          <w:szCs w:val="24"/>
        </w:rPr>
        <w:t xml:space="preserve">on a user can </w:t>
      </w:r>
      <w:r w:rsidR="00BD4885" w:rsidRPr="00273D24">
        <w:rPr>
          <w:rFonts w:ascii="Times New Roman" w:hAnsi="Times New Roman" w:cs="Times New Roman"/>
          <w:sz w:val="24"/>
          <w:szCs w:val="24"/>
        </w:rPr>
        <w:t xml:space="preserve">take </w:t>
      </w:r>
      <w:r w:rsidR="0000429C" w:rsidRPr="00273D24">
        <w:rPr>
          <w:rFonts w:ascii="Times New Roman" w:hAnsi="Times New Roman" w:cs="Times New Roman"/>
          <w:sz w:val="24"/>
          <w:szCs w:val="24"/>
        </w:rPr>
        <w:t>while using</w:t>
      </w:r>
      <w:r w:rsidRPr="00273D24">
        <w:rPr>
          <w:rFonts w:ascii="Times New Roman" w:hAnsi="Times New Roman" w:cs="Times New Roman"/>
          <w:sz w:val="24"/>
          <w:szCs w:val="24"/>
        </w:rPr>
        <w:t xml:space="preserve"> Facebook</w:t>
      </w:r>
      <w:r w:rsidR="0000429C" w:rsidRPr="00273D24">
        <w:rPr>
          <w:rFonts w:ascii="Times New Roman" w:hAnsi="Times New Roman" w:cs="Times New Roman"/>
          <w:sz w:val="24"/>
          <w:szCs w:val="24"/>
        </w:rPr>
        <w:t xml:space="preserve"> and t</w:t>
      </w:r>
      <w:r w:rsidR="002319BD" w:rsidRPr="00273D24">
        <w:rPr>
          <w:rFonts w:ascii="Times New Roman" w:hAnsi="Times New Roman" w:cs="Times New Roman"/>
          <w:sz w:val="24"/>
          <w:szCs w:val="24"/>
        </w:rPr>
        <w:t>he services it offers</w:t>
      </w:r>
      <w:r w:rsidR="00BD4885" w:rsidRPr="00273D24">
        <w:rPr>
          <w:rFonts w:ascii="Times New Roman" w:hAnsi="Times New Roman" w:cs="Times New Roman"/>
          <w:sz w:val="24"/>
          <w:szCs w:val="24"/>
        </w:rPr>
        <w:t>,</w:t>
      </w:r>
      <w:r w:rsidRPr="00273D24">
        <w:rPr>
          <w:rFonts w:ascii="Times New Roman" w:hAnsi="Times New Roman" w:cs="Times New Roman"/>
          <w:sz w:val="24"/>
          <w:szCs w:val="24"/>
        </w:rPr>
        <w:t xml:space="preserve"> fro</w:t>
      </w:r>
      <w:r w:rsidR="0000429C" w:rsidRPr="00273D24">
        <w:rPr>
          <w:rFonts w:ascii="Times New Roman" w:hAnsi="Times New Roman" w:cs="Times New Roman"/>
          <w:sz w:val="24"/>
          <w:szCs w:val="24"/>
        </w:rPr>
        <w:t xml:space="preserve">m photos and videos </w:t>
      </w:r>
      <w:r w:rsidR="00BD4885" w:rsidRPr="00273D24">
        <w:rPr>
          <w:rFonts w:ascii="Times New Roman" w:hAnsi="Times New Roman" w:cs="Times New Roman"/>
          <w:sz w:val="24"/>
          <w:szCs w:val="24"/>
        </w:rPr>
        <w:t xml:space="preserve">to advertisements and “likes.” </w:t>
      </w:r>
      <w:r w:rsidR="0035628C" w:rsidRPr="00273D24">
        <w:rPr>
          <w:rFonts w:ascii="Times New Roman" w:hAnsi="Times New Roman" w:cs="Times New Roman"/>
          <w:sz w:val="24"/>
          <w:szCs w:val="24"/>
        </w:rPr>
        <w:t xml:space="preserve">This information may be easily </w:t>
      </w:r>
      <w:r w:rsidR="002319BD" w:rsidRPr="00273D24">
        <w:rPr>
          <w:rFonts w:ascii="Times New Roman" w:hAnsi="Times New Roman" w:cs="Times New Roman"/>
          <w:sz w:val="24"/>
          <w:szCs w:val="24"/>
        </w:rPr>
        <w:t xml:space="preserve">downloaded and </w:t>
      </w:r>
      <w:r w:rsidR="0035628C" w:rsidRPr="00273D24">
        <w:rPr>
          <w:rFonts w:ascii="Times New Roman" w:hAnsi="Times New Roman" w:cs="Times New Roman"/>
          <w:sz w:val="24"/>
          <w:szCs w:val="24"/>
        </w:rPr>
        <w:t>accessed in either the user’s “downloaded info” or “activity log.”  While there is no method to individually select which data the user wishes to download (e.g., photos posted)</w:t>
      </w:r>
      <w:r w:rsidR="009F0A91" w:rsidRPr="00273D24">
        <w:rPr>
          <w:rFonts w:ascii="Times New Roman" w:hAnsi="Times New Roman" w:cs="Times New Roman"/>
          <w:sz w:val="24"/>
          <w:szCs w:val="24"/>
        </w:rPr>
        <w:t>, distin</w:t>
      </w:r>
      <w:r w:rsidR="007A03C9" w:rsidRPr="00273D24">
        <w:rPr>
          <w:rFonts w:ascii="Times New Roman" w:hAnsi="Times New Roman" w:cs="Times New Roman"/>
          <w:sz w:val="24"/>
          <w:szCs w:val="24"/>
        </w:rPr>
        <w:t>ct data</w:t>
      </w:r>
      <w:r w:rsidR="009F0A91" w:rsidRPr="00273D24">
        <w:rPr>
          <w:rFonts w:ascii="Times New Roman" w:hAnsi="Times New Roman" w:cs="Times New Roman"/>
          <w:sz w:val="24"/>
          <w:szCs w:val="24"/>
        </w:rPr>
        <w:t xml:space="preserve"> may </w:t>
      </w:r>
      <w:r w:rsidR="007A03C9" w:rsidRPr="00273D24">
        <w:rPr>
          <w:rFonts w:ascii="Times New Roman" w:hAnsi="Times New Roman" w:cs="Times New Roman"/>
          <w:sz w:val="24"/>
          <w:szCs w:val="24"/>
        </w:rPr>
        <w:t>b</w:t>
      </w:r>
      <w:r w:rsidR="009F0A91" w:rsidRPr="00273D24">
        <w:rPr>
          <w:rFonts w:ascii="Times New Roman" w:hAnsi="Times New Roman" w:cs="Times New Roman"/>
          <w:sz w:val="24"/>
          <w:szCs w:val="24"/>
        </w:rPr>
        <w:t>e viewed upo</w:t>
      </w:r>
      <w:r w:rsidR="007A03C9" w:rsidRPr="00273D24">
        <w:rPr>
          <w:rFonts w:ascii="Times New Roman" w:hAnsi="Times New Roman" w:cs="Times New Roman"/>
          <w:sz w:val="24"/>
          <w:szCs w:val="24"/>
        </w:rPr>
        <w:t xml:space="preserve">n access of the entire downloaded </w:t>
      </w:r>
      <w:r w:rsidR="009F0A91" w:rsidRPr="00273D24">
        <w:rPr>
          <w:rFonts w:ascii="Times New Roman" w:hAnsi="Times New Roman" w:cs="Times New Roman"/>
          <w:sz w:val="24"/>
          <w:szCs w:val="24"/>
        </w:rPr>
        <w:t>file.</w:t>
      </w:r>
      <w:r w:rsidR="000B3657" w:rsidRPr="00273D24">
        <w:rPr>
          <w:rFonts w:ascii="Times New Roman" w:hAnsi="Times New Roman" w:cs="Times New Roman"/>
          <w:sz w:val="24"/>
          <w:szCs w:val="24"/>
        </w:rPr>
        <w:t xml:space="preserve">  Facebook’s archive feature thus may be used to easily consolidate information due for production from one’s client.  It may also be leveraged against </w:t>
      </w:r>
      <w:r w:rsidR="000B3657" w:rsidRPr="00273D24">
        <w:rPr>
          <w:rFonts w:ascii="Times New Roman" w:hAnsi="Times New Roman" w:cs="Times New Roman"/>
          <w:sz w:val="24"/>
          <w:szCs w:val="24"/>
        </w:rPr>
        <w:lastRenderedPageBreak/>
        <w:t>an uncooperative opposing counsel who claims that compiling their client’s Facebook information is an impossible or otherwise overly burdensome task.</w:t>
      </w:r>
      <w:r w:rsidR="009F0A91" w:rsidRPr="00273D24">
        <w:rPr>
          <w:rFonts w:ascii="Times New Roman" w:hAnsi="Times New Roman" w:cs="Times New Roman"/>
          <w:sz w:val="24"/>
          <w:szCs w:val="24"/>
        </w:rPr>
        <w:t xml:space="preserve"> </w:t>
      </w:r>
      <w:r w:rsidRPr="00273D24">
        <w:rPr>
          <w:rFonts w:ascii="Times New Roman" w:hAnsi="Times New Roman" w:cs="Times New Roman"/>
          <w:sz w:val="24"/>
          <w:szCs w:val="24"/>
        </w:rPr>
        <w:t xml:space="preserve"> </w:t>
      </w:r>
    </w:p>
    <w:p w14:paraId="75244F35" w14:textId="77777777" w:rsidR="00F24865" w:rsidRPr="00273D24" w:rsidRDefault="006B2FCB" w:rsidP="006B2FCB">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b/>
          <w:sz w:val="24"/>
          <w:szCs w:val="24"/>
        </w:rPr>
        <w:tab/>
        <w:t>b.</w:t>
      </w:r>
      <w:r w:rsidRPr="00273D24">
        <w:rPr>
          <w:rFonts w:ascii="Times New Roman" w:hAnsi="Times New Roman" w:cs="Times New Roman"/>
          <w:b/>
          <w:sz w:val="24"/>
          <w:szCs w:val="24"/>
        </w:rPr>
        <w:tab/>
      </w:r>
      <w:r w:rsidRPr="00273D24">
        <w:rPr>
          <w:rFonts w:ascii="Times New Roman" w:hAnsi="Times New Roman" w:cs="Times New Roman"/>
          <w:b/>
          <w:sz w:val="24"/>
          <w:szCs w:val="24"/>
          <w:u w:val="single"/>
        </w:rPr>
        <w:t>Friending or Following to Obtain Information</w:t>
      </w:r>
    </w:p>
    <w:p w14:paraId="0CFFAD00" w14:textId="77777777" w:rsidR="00B03877" w:rsidRPr="00273D24" w:rsidRDefault="00B129CC" w:rsidP="00E76A58">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 xml:space="preserve">Considering </w:t>
      </w:r>
      <w:r w:rsidR="00FD396B" w:rsidRPr="00273D24">
        <w:rPr>
          <w:rFonts w:ascii="Times New Roman" w:hAnsi="Times New Roman" w:cs="Times New Roman"/>
          <w:sz w:val="24"/>
          <w:szCs w:val="24"/>
        </w:rPr>
        <w:t xml:space="preserve">the fact </w:t>
      </w:r>
      <w:r w:rsidRPr="00273D24">
        <w:rPr>
          <w:rFonts w:ascii="Times New Roman" w:hAnsi="Times New Roman" w:cs="Times New Roman"/>
          <w:sz w:val="24"/>
          <w:szCs w:val="24"/>
        </w:rPr>
        <w:t xml:space="preserve">that there are an estimated 901 </w:t>
      </w:r>
      <w:r w:rsidRPr="00273D24">
        <w:rPr>
          <w:rFonts w:ascii="Times New Roman" w:hAnsi="Times New Roman" w:cs="Times New Roman"/>
          <w:i/>
          <w:sz w:val="24"/>
          <w:szCs w:val="24"/>
        </w:rPr>
        <w:t>million</w:t>
      </w:r>
      <w:r w:rsidRPr="00273D24">
        <w:rPr>
          <w:rFonts w:ascii="Times New Roman" w:hAnsi="Times New Roman" w:cs="Times New Roman"/>
          <w:sz w:val="24"/>
          <w:szCs w:val="24"/>
        </w:rPr>
        <w:t xml:space="preserve"> monthly active users of Facebook, practitioners are keenly awa</w:t>
      </w:r>
      <w:r w:rsidR="0089745C" w:rsidRPr="00273D24">
        <w:rPr>
          <w:rFonts w:ascii="Times New Roman" w:hAnsi="Times New Roman" w:cs="Times New Roman"/>
          <w:sz w:val="24"/>
          <w:szCs w:val="24"/>
        </w:rPr>
        <w:t xml:space="preserve">re of the relevance and importance of the information Facebook users voluntarily provide for the world to see.  Thus, one of the first reactive measures one may seek to take is to “check Facebook” for relevant information about an opposing party, attorney, or witness.  </w:t>
      </w:r>
      <w:r w:rsidR="008B1598" w:rsidRPr="00273D24">
        <w:rPr>
          <w:rFonts w:ascii="Times New Roman" w:hAnsi="Times New Roman" w:cs="Times New Roman"/>
          <w:sz w:val="24"/>
          <w:szCs w:val="24"/>
        </w:rPr>
        <w:t>While such steps may seem harmless and permissible considering the voluntary disclosure of such information</w:t>
      </w:r>
      <w:r w:rsidR="00B03877" w:rsidRPr="00273D24">
        <w:rPr>
          <w:rFonts w:ascii="Times New Roman" w:hAnsi="Times New Roman" w:cs="Times New Roman"/>
          <w:sz w:val="24"/>
          <w:szCs w:val="24"/>
        </w:rPr>
        <w:t xml:space="preserve"> </w:t>
      </w:r>
      <w:r w:rsidR="008B1598" w:rsidRPr="00273D24">
        <w:rPr>
          <w:rFonts w:ascii="Times New Roman" w:hAnsi="Times New Roman" w:cs="Times New Roman"/>
          <w:sz w:val="24"/>
          <w:szCs w:val="24"/>
        </w:rPr>
        <w:t>by users, ethical considerations are in play</w:t>
      </w:r>
      <w:r w:rsidR="00FD396B" w:rsidRPr="00273D24">
        <w:rPr>
          <w:rFonts w:ascii="Times New Roman" w:hAnsi="Times New Roman" w:cs="Times New Roman"/>
          <w:sz w:val="24"/>
          <w:szCs w:val="24"/>
        </w:rPr>
        <w:t>,</w:t>
      </w:r>
      <w:r w:rsidR="008B1598" w:rsidRPr="00273D24">
        <w:rPr>
          <w:rFonts w:ascii="Times New Roman" w:hAnsi="Times New Roman" w:cs="Times New Roman"/>
          <w:sz w:val="24"/>
          <w:szCs w:val="24"/>
        </w:rPr>
        <w:t xml:space="preserve"> </w:t>
      </w:r>
      <w:r w:rsidR="00FD396B" w:rsidRPr="00273D24">
        <w:rPr>
          <w:rFonts w:ascii="Times New Roman" w:hAnsi="Times New Roman" w:cs="Times New Roman"/>
          <w:sz w:val="24"/>
          <w:szCs w:val="24"/>
        </w:rPr>
        <w:t xml:space="preserve">and </w:t>
      </w:r>
      <w:r w:rsidR="008B1598" w:rsidRPr="00273D24">
        <w:rPr>
          <w:rFonts w:ascii="Times New Roman" w:hAnsi="Times New Roman" w:cs="Times New Roman"/>
          <w:sz w:val="24"/>
          <w:szCs w:val="24"/>
        </w:rPr>
        <w:t xml:space="preserve">practitioners should familiarize themselves with </w:t>
      </w:r>
      <w:r w:rsidR="00DD6926" w:rsidRPr="00273D24">
        <w:rPr>
          <w:rFonts w:ascii="Times New Roman" w:hAnsi="Times New Roman" w:cs="Times New Roman"/>
          <w:sz w:val="24"/>
          <w:szCs w:val="24"/>
        </w:rPr>
        <w:t xml:space="preserve">any applicable rules </w:t>
      </w:r>
      <w:r w:rsidR="008B1598" w:rsidRPr="00273D24">
        <w:rPr>
          <w:rFonts w:ascii="Times New Roman" w:hAnsi="Times New Roman" w:cs="Times New Roman"/>
          <w:sz w:val="24"/>
          <w:szCs w:val="24"/>
        </w:rPr>
        <w:t>before engaging in this type of “detective work.”</w:t>
      </w:r>
    </w:p>
    <w:p w14:paraId="479C9F82" w14:textId="77777777" w:rsidR="006B2FCB" w:rsidRPr="00273D24" w:rsidRDefault="008B1598" w:rsidP="006B2FCB">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For example, American Bar Association Model Rule 4.2 states in relevant part that “[i]n representing a client, a lawyer shall not communicate about the subject of the representation with a person the lawyer knows to be represented by another lawyer in the matter, unless the lawyer has the consent of the other lawyer.”</w:t>
      </w:r>
      <w:r w:rsidRPr="00273D24">
        <w:rPr>
          <w:rStyle w:val="FootnoteReference"/>
          <w:rFonts w:ascii="Times New Roman" w:hAnsi="Times New Roman" w:cs="Times New Roman"/>
          <w:sz w:val="24"/>
          <w:szCs w:val="24"/>
        </w:rPr>
        <w:footnoteReference w:id="122"/>
      </w:r>
      <w:r w:rsidR="00890968" w:rsidRPr="00273D24">
        <w:rPr>
          <w:rFonts w:ascii="Times New Roman" w:hAnsi="Times New Roman" w:cs="Times New Roman"/>
          <w:sz w:val="24"/>
          <w:szCs w:val="24"/>
        </w:rPr>
        <w:t xml:space="preserve">  Some ethical authorities, including local and state bar ethics committees, have found that a Facebook “friend” request, even if nominally generated by Facebook and not the attorney, is at least an indirect ex parte communication with a represented party.</w:t>
      </w:r>
      <w:r w:rsidR="00840CE8" w:rsidRPr="00273D24">
        <w:rPr>
          <w:rStyle w:val="FootnoteReference"/>
          <w:rFonts w:ascii="Times New Roman" w:hAnsi="Times New Roman" w:cs="Times New Roman"/>
          <w:sz w:val="24"/>
          <w:szCs w:val="24"/>
        </w:rPr>
        <w:footnoteReference w:id="123"/>
      </w:r>
      <w:r w:rsidR="00095B89" w:rsidRPr="00273D24">
        <w:rPr>
          <w:rFonts w:ascii="Times New Roman" w:hAnsi="Times New Roman" w:cs="Times New Roman"/>
          <w:sz w:val="24"/>
          <w:szCs w:val="24"/>
        </w:rPr>
        <w:t xml:space="preserve">  In this particular decision, the ethical authority equated such a “friend” request, when considering the context in which such request is made, to a request that “X wants to have access to the information you are sharing on your Facebook page.”</w:t>
      </w:r>
      <w:r w:rsidR="00095B89" w:rsidRPr="00273D24">
        <w:rPr>
          <w:rStyle w:val="FootnoteReference"/>
          <w:rFonts w:ascii="Times New Roman" w:hAnsi="Times New Roman" w:cs="Times New Roman"/>
          <w:sz w:val="24"/>
          <w:szCs w:val="24"/>
        </w:rPr>
        <w:footnoteReference w:id="124"/>
      </w:r>
      <w:r w:rsidR="00840CE8" w:rsidRPr="00273D24">
        <w:rPr>
          <w:rFonts w:ascii="Times New Roman" w:hAnsi="Times New Roman" w:cs="Times New Roman"/>
          <w:sz w:val="24"/>
          <w:szCs w:val="24"/>
        </w:rPr>
        <w:t xml:space="preserve"> </w:t>
      </w:r>
      <w:r w:rsidR="00095B89" w:rsidRPr="00273D24">
        <w:rPr>
          <w:rFonts w:ascii="Times New Roman" w:hAnsi="Times New Roman" w:cs="Times New Roman"/>
          <w:sz w:val="24"/>
          <w:szCs w:val="24"/>
        </w:rPr>
        <w:t xml:space="preserve"> I</w:t>
      </w:r>
      <w:r w:rsidR="00840CE8" w:rsidRPr="00273D24">
        <w:rPr>
          <w:rFonts w:ascii="Times New Roman" w:hAnsi="Times New Roman" w:cs="Times New Roman"/>
          <w:sz w:val="24"/>
          <w:szCs w:val="24"/>
        </w:rPr>
        <w:t xml:space="preserve">n the event that such “friend” request is found to be motivated by the quest for information about the subject of the </w:t>
      </w:r>
      <w:r w:rsidR="00840CE8" w:rsidRPr="00273D24">
        <w:rPr>
          <w:rFonts w:ascii="Times New Roman" w:hAnsi="Times New Roman" w:cs="Times New Roman"/>
          <w:sz w:val="24"/>
          <w:szCs w:val="24"/>
        </w:rPr>
        <w:lastRenderedPageBreak/>
        <w:t>representation, additional ethical violations have been found to have occurred.</w:t>
      </w:r>
      <w:r w:rsidR="00065909" w:rsidRPr="00273D24">
        <w:rPr>
          <w:rFonts w:ascii="Times New Roman" w:hAnsi="Times New Roman" w:cs="Times New Roman"/>
          <w:sz w:val="24"/>
          <w:szCs w:val="24"/>
        </w:rPr>
        <w:t xml:space="preserve">  In a similar vein, ethical rules prohibiting attorneys from causing others to encourage an opposing party or counsel from communicating about the subject of the representation have been found to prevent a</w:t>
      </w:r>
      <w:r w:rsidR="00FD396B" w:rsidRPr="00273D24">
        <w:rPr>
          <w:rFonts w:ascii="Times New Roman" w:hAnsi="Times New Roman" w:cs="Times New Roman"/>
          <w:sz w:val="24"/>
          <w:szCs w:val="24"/>
        </w:rPr>
        <w:t>n</w:t>
      </w:r>
      <w:r w:rsidR="00065909" w:rsidRPr="00273D24">
        <w:rPr>
          <w:rFonts w:ascii="Times New Roman" w:hAnsi="Times New Roman" w:cs="Times New Roman"/>
          <w:sz w:val="24"/>
          <w:szCs w:val="24"/>
        </w:rPr>
        <w:t xml:space="preserve"> attorney, or anyone on their behalf, from making a “friend” request in an attempt to obtain information which may only be viewed by accepted “friends.”</w:t>
      </w:r>
      <w:r w:rsidR="00065909" w:rsidRPr="00273D24">
        <w:rPr>
          <w:rStyle w:val="FootnoteReference"/>
          <w:rFonts w:ascii="Times New Roman" w:hAnsi="Times New Roman" w:cs="Times New Roman"/>
          <w:sz w:val="24"/>
          <w:szCs w:val="24"/>
        </w:rPr>
        <w:footnoteReference w:id="125"/>
      </w:r>
      <w:r w:rsidR="00065909" w:rsidRPr="00273D24">
        <w:rPr>
          <w:rFonts w:ascii="Times New Roman" w:hAnsi="Times New Roman" w:cs="Times New Roman"/>
          <w:sz w:val="24"/>
          <w:szCs w:val="24"/>
        </w:rPr>
        <w:t xml:space="preserve">  Thus, such an action is comparable to requesting</w:t>
      </w:r>
      <w:r w:rsidR="00ED7A25" w:rsidRPr="00273D24">
        <w:rPr>
          <w:rFonts w:ascii="Times New Roman" w:hAnsi="Times New Roman" w:cs="Times New Roman"/>
          <w:sz w:val="24"/>
          <w:szCs w:val="24"/>
        </w:rPr>
        <w:t xml:space="preserve"> (in the real world)</w:t>
      </w:r>
      <w:r w:rsidR="00065909" w:rsidRPr="00273D24">
        <w:rPr>
          <w:rFonts w:ascii="Times New Roman" w:hAnsi="Times New Roman" w:cs="Times New Roman"/>
          <w:sz w:val="24"/>
          <w:szCs w:val="24"/>
        </w:rPr>
        <w:t xml:space="preserve"> that the opposing party provide access</w:t>
      </w:r>
      <w:r w:rsidR="00ED7A25" w:rsidRPr="00273D24">
        <w:rPr>
          <w:rFonts w:ascii="Times New Roman" w:hAnsi="Times New Roman" w:cs="Times New Roman"/>
          <w:sz w:val="24"/>
          <w:szCs w:val="24"/>
        </w:rPr>
        <w:t xml:space="preserve"> to their private files </w:t>
      </w:r>
      <w:r w:rsidR="00065909" w:rsidRPr="00273D24">
        <w:rPr>
          <w:rFonts w:ascii="Times New Roman" w:hAnsi="Times New Roman" w:cs="Times New Roman"/>
          <w:sz w:val="24"/>
          <w:szCs w:val="24"/>
        </w:rPr>
        <w:t>to (hopefully) provide helpful information about the case.  At a minimum, practitioners must be mindful of potential ethical pitfalls when</w:t>
      </w:r>
      <w:r w:rsidR="00FE3ACB" w:rsidRPr="00273D24">
        <w:rPr>
          <w:rFonts w:ascii="Times New Roman" w:hAnsi="Times New Roman" w:cs="Times New Roman"/>
          <w:sz w:val="24"/>
          <w:szCs w:val="24"/>
        </w:rPr>
        <w:t xml:space="preserve"> attempting</w:t>
      </w:r>
      <w:r w:rsidR="00065909" w:rsidRPr="00273D24">
        <w:rPr>
          <w:rFonts w:ascii="Times New Roman" w:hAnsi="Times New Roman" w:cs="Times New Roman"/>
          <w:sz w:val="24"/>
          <w:szCs w:val="24"/>
        </w:rPr>
        <w:t xml:space="preserve"> </w:t>
      </w:r>
      <w:r w:rsidR="00FD396B" w:rsidRPr="00273D24">
        <w:rPr>
          <w:rFonts w:ascii="Times New Roman" w:hAnsi="Times New Roman" w:cs="Times New Roman"/>
          <w:sz w:val="24"/>
          <w:szCs w:val="24"/>
        </w:rPr>
        <w:t xml:space="preserve">to </w:t>
      </w:r>
      <w:r w:rsidR="00065909" w:rsidRPr="00273D24">
        <w:rPr>
          <w:rFonts w:ascii="Times New Roman" w:hAnsi="Times New Roman" w:cs="Times New Roman"/>
          <w:sz w:val="24"/>
          <w:szCs w:val="24"/>
        </w:rPr>
        <w:t>obtain information</w:t>
      </w:r>
      <w:r w:rsidR="00FE3ACB" w:rsidRPr="00273D24">
        <w:rPr>
          <w:rFonts w:ascii="Times New Roman" w:hAnsi="Times New Roman" w:cs="Times New Roman"/>
          <w:sz w:val="24"/>
          <w:szCs w:val="24"/>
        </w:rPr>
        <w:t xml:space="preserve"> from opposing parties through Facebook “friend” requests or other similar means.  The ethical rules in place for traditional modes of communication are still applicable and may lead to a number of unintended negative consequences.</w:t>
      </w:r>
    </w:p>
    <w:p w14:paraId="5EA01524" w14:textId="77777777" w:rsidR="00F24865" w:rsidRPr="00273D24" w:rsidRDefault="006B2FCB" w:rsidP="006B2FCB">
      <w:pPr>
        <w:spacing w:after="0" w:line="480" w:lineRule="auto"/>
        <w:ind w:firstLine="720"/>
        <w:jc w:val="both"/>
        <w:rPr>
          <w:rFonts w:ascii="Times New Roman" w:hAnsi="Times New Roman" w:cs="Times New Roman"/>
          <w:b/>
          <w:sz w:val="24"/>
          <w:szCs w:val="24"/>
        </w:rPr>
      </w:pPr>
      <w:r w:rsidRPr="00273D24">
        <w:rPr>
          <w:rFonts w:ascii="Times New Roman" w:hAnsi="Times New Roman" w:cs="Times New Roman"/>
          <w:sz w:val="24"/>
          <w:szCs w:val="24"/>
        </w:rPr>
        <w:tab/>
      </w:r>
      <w:r w:rsidRPr="00273D24">
        <w:rPr>
          <w:rFonts w:ascii="Times New Roman" w:hAnsi="Times New Roman" w:cs="Times New Roman"/>
          <w:b/>
          <w:sz w:val="24"/>
          <w:szCs w:val="24"/>
        </w:rPr>
        <w:t>c.</w:t>
      </w:r>
      <w:r w:rsidRPr="00273D24">
        <w:rPr>
          <w:rFonts w:ascii="Times New Roman" w:hAnsi="Times New Roman" w:cs="Times New Roman"/>
          <w:b/>
          <w:sz w:val="24"/>
          <w:szCs w:val="24"/>
        </w:rPr>
        <w:tab/>
      </w:r>
      <w:r w:rsidRPr="00273D24">
        <w:rPr>
          <w:rFonts w:ascii="Times New Roman" w:hAnsi="Times New Roman" w:cs="Times New Roman"/>
          <w:b/>
          <w:sz w:val="24"/>
          <w:szCs w:val="24"/>
          <w:u w:val="single"/>
        </w:rPr>
        <w:t>Closed Accounts</w:t>
      </w:r>
    </w:p>
    <w:p w14:paraId="5040DD7C" w14:textId="5DEB4DDE" w:rsidR="006C372F" w:rsidRPr="00273D24" w:rsidRDefault="005136DA" w:rsidP="00A019F0">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Facebook provides two options for its users in terms of “closing” an account: deacti</w:t>
      </w:r>
      <w:r w:rsidR="005C152F" w:rsidRPr="00273D24">
        <w:rPr>
          <w:rFonts w:ascii="Times New Roman" w:hAnsi="Times New Roman" w:cs="Times New Roman"/>
          <w:sz w:val="24"/>
          <w:szCs w:val="24"/>
        </w:rPr>
        <w:t>vation and permanent deletion. An account deactivation removes a user’s profile from view of ot</w:t>
      </w:r>
      <w:r w:rsidR="006D4326" w:rsidRPr="00273D24">
        <w:rPr>
          <w:rFonts w:ascii="Times New Roman" w:hAnsi="Times New Roman" w:cs="Times New Roman"/>
          <w:sz w:val="24"/>
          <w:szCs w:val="24"/>
        </w:rPr>
        <w:t>hers and search parameters.</w:t>
      </w:r>
      <w:r w:rsidR="0056650F" w:rsidRPr="00273D24">
        <w:rPr>
          <w:rStyle w:val="FootnoteReference"/>
          <w:rFonts w:ascii="Times New Roman" w:hAnsi="Times New Roman" w:cs="Times New Roman"/>
          <w:sz w:val="24"/>
          <w:szCs w:val="24"/>
        </w:rPr>
        <w:footnoteReference w:id="126"/>
      </w:r>
      <w:r w:rsidR="006D4326" w:rsidRPr="00273D24">
        <w:rPr>
          <w:rFonts w:ascii="Times New Roman" w:hAnsi="Times New Roman" w:cs="Times New Roman"/>
          <w:sz w:val="24"/>
          <w:szCs w:val="24"/>
        </w:rPr>
        <w:t xml:space="preserve">  Such deactivation does not affect the user’s Facebook data (which is retained) and thus the account may be “reactivated” at any time through a simple request process.</w:t>
      </w:r>
      <w:r w:rsidR="00FF6D72" w:rsidRPr="00273D24">
        <w:rPr>
          <w:rStyle w:val="FootnoteReference"/>
          <w:rFonts w:ascii="Times New Roman" w:hAnsi="Times New Roman" w:cs="Times New Roman"/>
          <w:sz w:val="24"/>
          <w:szCs w:val="24"/>
        </w:rPr>
        <w:footnoteReference w:id="127"/>
      </w:r>
      <w:r w:rsidR="006D4326" w:rsidRPr="00273D24">
        <w:rPr>
          <w:rFonts w:ascii="Times New Roman" w:hAnsi="Times New Roman" w:cs="Times New Roman"/>
          <w:sz w:val="24"/>
          <w:szCs w:val="24"/>
        </w:rPr>
        <w:t xml:space="preserve">  On the other hand, the permanent deletion of a Facebook account precludes any future reactivation.  In order to accomplish this permanent deletion a user must make a written request to Facebook.</w:t>
      </w:r>
      <w:r w:rsidR="00FF6D72" w:rsidRPr="00273D24">
        <w:rPr>
          <w:rStyle w:val="FootnoteReference"/>
          <w:rFonts w:ascii="Times New Roman" w:hAnsi="Times New Roman" w:cs="Times New Roman"/>
          <w:sz w:val="24"/>
          <w:szCs w:val="24"/>
        </w:rPr>
        <w:footnoteReference w:id="128"/>
      </w:r>
      <w:r w:rsidR="006D4326" w:rsidRPr="00273D24">
        <w:rPr>
          <w:rFonts w:ascii="Times New Roman" w:hAnsi="Times New Roman" w:cs="Times New Roman"/>
          <w:sz w:val="24"/>
          <w:szCs w:val="24"/>
        </w:rPr>
        <w:t xml:space="preserve">  Facebook will delete the account upon such request, but the actual purge of all photos and other data from Facebook servers may take up to ninety (90) days.  </w:t>
      </w:r>
      <w:r w:rsidR="006D4326" w:rsidRPr="00273D24">
        <w:rPr>
          <w:rFonts w:ascii="Times New Roman" w:hAnsi="Times New Roman" w:cs="Times New Roman"/>
          <w:sz w:val="24"/>
          <w:szCs w:val="24"/>
        </w:rPr>
        <w:lastRenderedPageBreak/>
        <w:t>However, this data is inaccessible to others during the deletion process.</w:t>
      </w:r>
      <w:r w:rsidR="00FF6D72" w:rsidRPr="00273D24">
        <w:rPr>
          <w:rStyle w:val="FootnoteReference"/>
          <w:rFonts w:ascii="Times New Roman" w:hAnsi="Times New Roman" w:cs="Times New Roman"/>
          <w:sz w:val="24"/>
          <w:szCs w:val="24"/>
        </w:rPr>
        <w:footnoteReference w:id="129"/>
      </w:r>
      <w:r w:rsidR="00F53EB7" w:rsidRPr="00273D24">
        <w:rPr>
          <w:rFonts w:ascii="Times New Roman" w:hAnsi="Times New Roman" w:cs="Times New Roman"/>
          <w:sz w:val="24"/>
          <w:szCs w:val="24"/>
        </w:rPr>
        <w:t xml:space="preserve">  Upon permanent deletion, the user’s data is erased but some information, such as messages sent to another user, may still remain. </w:t>
      </w:r>
      <w:r w:rsidR="00FF6D72" w:rsidRPr="00273D24">
        <w:rPr>
          <w:rFonts w:ascii="Times New Roman" w:hAnsi="Times New Roman" w:cs="Times New Roman"/>
          <w:sz w:val="24"/>
          <w:szCs w:val="24"/>
        </w:rPr>
        <w:t xml:space="preserve"> Therefore, there is little data which may be recovered in the event of permanent deletion aside from messages or other information which may have been provided from one user to another.</w:t>
      </w:r>
    </w:p>
    <w:p w14:paraId="637DC406" w14:textId="77777777" w:rsidR="006B2FCB" w:rsidRPr="00273D24" w:rsidRDefault="006B2FCB" w:rsidP="00A019F0">
      <w:pPr>
        <w:spacing w:after="0" w:line="480" w:lineRule="auto"/>
        <w:ind w:firstLine="720"/>
        <w:jc w:val="both"/>
        <w:rPr>
          <w:rFonts w:ascii="Times New Roman" w:hAnsi="Times New Roman" w:cs="Times New Roman"/>
          <w:b/>
          <w:sz w:val="24"/>
          <w:szCs w:val="24"/>
          <w:u w:val="single"/>
        </w:rPr>
      </w:pPr>
      <w:r w:rsidRPr="00273D24">
        <w:rPr>
          <w:rFonts w:ascii="Times New Roman" w:hAnsi="Times New Roman" w:cs="Times New Roman"/>
          <w:b/>
          <w:sz w:val="24"/>
          <w:szCs w:val="24"/>
        </w:rPr>
        <w:t>d.</w:t>
      </w:r>
      <w:r w:rsidRPr="00273D24">
        <w:rPr>
          <w:rFonts w:ascii="Times New Roman" w:hAnsi="Times New Roman" w:cs="Times New Roman"/>
          <w:b/>
          <w:sz w:val="24"/>
          <w:szCs w:val="24"/>
        </w:rPr>
        <w:tab/>
      </w:r>
      <w:r w:rsidRPr="00273D24">
        <w:rPr>
          <w:rFonts w:ascii="Times New Roman" w:hAnsi="Times New Roman" w:cs="Times New Roman"/>
          <w:b/>
          <w:sz w:val="24"/>
          <w:szCs w:val="24"/>
          <w:u w:val="single"/>
        </w:rPr>
        <w:t>Deleted Accounts</w:t>
      </w:r>
    </w:p>
    <w:p w14:paraId="6AD5FC2F" w14:textId="77777777" w:rsidR="00F24865" w:rsidRPr="00273D24" w:rsidRDefault="00FE453D" w:rsidP="00A019F0">
      <w:pPr>
        <w:spacing w:after="0" w:line="480" w:lineRule="auto"/>
        <w:ind w:firstLine="720"/>
        <w:jc w:val="both"/>
        <w:rPr>
          <w:rFonts w:ascii="Times New Roman" w:hAnsi="Times New Roman" w:cs="Times New Roman"/>
          <w:sz w:val="24"/>
          <w:szCs w:val="24"/>
        </w:rPr>
      </w:pPr>
      <w:r w:rsidRPr="00273D24">
        <w:rPr>
          <w:rFonts w:ascii="Times New Roman" w:hAnsi="Times New Roman" w:cs="Times New Roman"/>
          <w:sz w:val="24"/>
          <w:szCs w:val="24"/>
        </w:rPr>
        <w:t>Facebook contends that all information or other data (photos, videos, etc.) which is deleted by the user is permanently deleted from Facebook servers.</w:t>
      </w:r>
      <w:r w:rsidRPr="00273D24">
        <w:rPr>
          <w:rStyle w:val="FootnoteReference"/>
          <w:rFonts w:ascii="Times New Roman" w:hAnsi="Times New Roman" w:cs="Times New Roman"/>
          <w:sz w:val="24"/>
          <w:szCs w:val="24"/>
        </w:rPr>
        <w:footnoteReference w:id="130"/>
      </w:r>
      <w:r w:rsidRPr="00273D24">
        <w:rPr>
          <w:rFonts w:ascii="Times New Roman" w:hAnsi="Times New Roman" w:cs="Times New Roman"/>
          <w:sz w:val="24"/>
          <w:szCs w:val="24"/>
        </w:rPr>
        <w:t xml:space="preserve">  However, Facebook recognizes that deleted data may remain on Facebook servers for a “short time” before its systems eventually </w:t>
      </w:r>
      <w:r w:rsidR="001D4E46" w:rsidRPr="00273D24">
        <w:rPr>
          <w:rFonts w:ascii="Times New Roman" w:hAnsi="Times New Roman" w:cs="Times New Roman"/>
          <w:sz w:val="24"/>
          <w:szCs w:val="24"/>
        </w:rPr>
        <w:t>complete the deletion.</w:t>
      </w:r>
      <w:r w:rsidR="001D4E46" w:rsidRPr="00273D24">
        <w:rPr>
          <w:rStyle w:val="FootnoteReference"/>
          <w:rFonts w:ascii="Times New Roman" w:hAnsi="Times New Roman" w:cs="Times New Roman"/>
          <w:sz w:val="24"/>
          <w:szCs w:val="24"/>
        </w:rPr>
        <w:footnoteReference w:id="131"/>
      </w:r>
      <w:r w:rsidR="001D4E46" w:rsidRPr="00273D24">
        <w:rPr>
          <w:rFonts w:ascii="Times New Roman" w:hAnsi="Times New Roman" w:cs="Times New Roman"/>
          <w:sz w:val="24"/>
          <w:szCs w:val="24"/>
        </w:rPr>
        <w:t xml:space="preserve">  Further, deleted information remains on Facebook backup </w:t>
      </w:r>
      <w:r w:rsidR="003B2CE5" w:rsidRPr="00273D24">
        <w:rPr>
          <w:rFonts w:ascii="Times New Roman" w:hAnsi="Times New Roman" w:cs="Times New Roman"/>
          <w:sz w:val="24"/>
          <w:szCs w:val="24"/>
        </w:rPr>
        <w:t>archives for a longer period of time in order to meet the company’s backup needs in the event of a data loss event or other relevant occurrence.</w:t>
      </w:r>
      <w:r w:rsidR="003B2CE5" w:rsidRPr="00273D24">
        <w:rPr>
          <w:rStyle w:val="FootnoteReference"/>
          <w:rFonts w:ascii="Times New Roman" w:hAnsi="Times New Roman" w:cs="Times New Roman"/>
          <w:sz w:val="24"/>
          <w:szCs w:val="24"/>
        </w:rPr>
        <w:footnoteReference w:id="132"/>
      </w:r>
      <w:r w:rsidR="003B2CE5" w:rsidRPr="00273D24">
        <w:rPr>
          <w:rFonts w:ascii="Times New Roman" w:hAnsi="Times New Roman" w:cs="Times New Roman"/>
          <w:sz w:val="24"/>
          <w:szCs w:val="24"/>
        </w:rPr>
        <w:t xml:space="preserve">  Facebook has not publicized if or how access may be made to deleted data which exists in archives or backups.</w:t>
      </w:r>
    </w:p>
    <w:sectPr w:rsidR="00F24865" w:rsidRPr="00273D24" w:rsidSect="005879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B94F1" w14:textId="77777777" w:rsidR="00B668D6" w:rsidRDefault="00B668D6" w:rsidP="00EB345A">
      <w:pPr>
        <w:spacing w:after="0" w:line="240" w:lineRule="auto"/>
      </w:pPr>
      <w:r>
        <w:separator/>
      </w:r>
    </w:p>
  </w:endnote>
  <w:endnote w:type="continuationSeparator" w:id="0">
    <w:p w14:paraId="6FDD0BAF" w14:textId="77777777" w:rsidR="00B668D6" w:rsidRDefault="00B668D6" w:rsidP="00EB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98F5F" w14:textId="77777777" w:rsidR="00B668D6" w:rsidRDefault="00B66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DCE2" w14:textId="27225B21" w:rsidR="00B668D6" w:rsidRPr="00587984" w:rsidRDefault="00273D24" w:rsidP="00587984">
    <w:pPr>
      <w:pStyle w:val="Footer"/>
      <w:rPr>
        <w:rFonts w:ascii="Georgia" w:hAnsi="Georgia"/>
        <w:sz w:val="24"/>
        <w:szCs w:val="24"/>
      </w:rPr>
    </w:pPr>
    <w:r w:rsidRPr="00273D24">
      <w:rPr>
        <w:noProof/>
        <w:sz w:val="16"/>
      </w:rPr>
      <w:t>{00542647.DOCX /2 }</w:t>
    </w:r>
    <w:r w:rsidR="00B668D6">
      <w:tab/>
    </w:r>
    <w:sdt>
      <w:sdtPr>
        <w:id w:val="-361824969"/>
        <w:docPartObj>
          <w:docPartGallery w:val="Page Numbers (Bottom of Page)"/>
          <w:docPartUnique/>
        </w:docPartObj>
      </w:sdtPr>
      <w:sdtEndPr>
        <w:rPr>
          <w:rFonts w:ascii="Georgia" w:hAnsi="Georgia"/>
          <w:noProof/>
          <w:sz w:val="24"/>
          <w:szCs w:val="24"/>
        </w:rPr>
      </w:sdtEndPr>
      <w:sdtContent>
        <w:r w:rsidR="00B668D6" w:rsidRPr="00587984">
          <w:rPr>
            <w:rFonts w:ascii="Georgia" w:hAnsi="Georgia"/>
            <w:sz w:val="24"/>
            <w:szCs w:val="24"/>
          </w:rPr>
          <w:fldChar w:fldCharType="begin"/>
        </w:r>
        <w:r w:rsidR="00B668D6" w:rsidRPr="00587984">
          <w:rPr>
            <w:rFonts w:ascii="Georgia" w:hAnsi="Georgia"/>
            <w:sz w:val="24"/>
            <w:szCs w:val="24"/>
          </w:rPr>
          <w:instrText xml:space="preserve"> PAGE   \* MERGEFORMAT </w:instrText>
        </w:r>
        <w:r w:rsidR="00B668D6" w:rsidRPr="00587984">
          <w:rPr>
            <w:rFonts w:ascii="Georgia" w:hAnsi="Georgia"/>
            <w:sz w:val="24"/>
            <w:szCs w:val="24"/>
          </w:rPr>
          <w:fldChar w:fldCharType="separate"/>
        </w:r>
        <w:r w:rsidR="00D34153">
          <w:rPr>
            <w:rFonts w:ascii="Georgia" w:hAnsi="Georgia"/>
            <w:noProof/>
            <w:sz w:val="24"/>
            <w:szCs w:val="24"/>
          </w:rPr>
          <w:t>2</w:t>
        </w:r>
        <w:r w:rsidR="00B668D6" w:rsidRPr="00587984">
          <w:rPr>
            <w:rFonts w:ascii="Georgia" w:hAnsi="Georgia"/>
            <w:noProof/>
            <w:sz w:val="24"/>
            <w:szCs w:val="24"/>
          </w:rPr>
          <w:fldChar w:fldCharType="end"/>
        </w:r>
      </w:sdtContent>
    </w:sdt>
  </w:p>
  <w:p w14:paraId="0CEC8FB7" w14:textId="77777777" w:rsidR="00B668D6" w:rsidRPr="00587984" w:rsidRDefault="00B668D6" w:rsidP="00EB34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8F7D2" w14:textId="0D105D23" w:rsidR="00B668D6" w:rsidRPr="00587984" w:rsidRDefault="00273D24" w:rsidP="00587984">
    <w:pPr>
      <w:pStyle w:val="Footer"/>
    </w:pPr>
    <w:r w:rsidRPr="00273D24">
      <w:rPr>
        <w:noProof/>
        <w:sz w:val="16"/>
      </w:rPr>
      <w:t>{00542647.DOCX /2 }</w:t>
    </w:r>
    <w:r w:rsidR="00B668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EEBF5" w14:textId="77777777" w:rsidR="00B668D6" w:rsidRDefault="00B668D6" w:rsidP="00EB345A">
      <w:pPr>
        <w:spacing w:after="0" w:line="240" w:lineRule="auto"/>
        <w:rPr>
          <w:noProof/>
        </w:rPr>
      </w:pPr>
      <w:r>
        <w:rPr>
          <w:noProof/>
        </w:rPr>
        <w:separator/>
      </w:r>
    </w:p>
  </w:footnote>
  <w:footnote w:type="continuationSeparator" w:id="0">
    <w:p w14:paraId="2A10A6E5" w14:textId="77777777" w:rsidR="00B668D6" w:rsidRDefault="00B668D6" w:rsidP="00EB345A">
      <w:pPr>
        <w:spacing w:after="0" w:line="240" w:lineRule="auto"/>
      </w:pPr>
      <w:r>
        <w:continuationSeparator/>
      </w:r>
    </w:p>
  </w:footnote>
  <w:footnote w:id="1">
    <w:p w14:paraId="56E89DF0"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National Conference of Commissioners on Uniform State Laws, </w:t>
      </w:r>
      <w:r w:rsidRPr="00273D24">
        <w:rPr>
          <w:rFonts w:ascii="Times New Roman" w:hAnsi="Times New Roman" w:cs="Times New Roman"/>
          <w:i/>
          <w:sz w:val="24"/>
          <w:szCs w:val="24"/>
        </w:rPr>
        <w:t>Uniform Rules Relating to Discovery of Electronically Stored Information</w:t>
      </w:r>
      <w:r w:rsidRPr="00273D24">
        <w:rPr>
          <w:rFonts w:ascii="Times New Roman" w:hAnsi="Times New Roman" w:cs="Times New Roman"/>
          <w:sz w:val="24"/>
          <w:szCs w:val="24"/>
        </w:rPr>
        <w:t xml:space="preserve"> (2007). </w:t>
      </w:r>
    </w:p>
  </w:footnote>
  <w:footnote w:id="2">
    <w:p w14:paraId="34FFD994" w14:textId="77777777" w:rsidR="00B668D6" w:rsidRPr="00273D24" w:rsidRDefault="00B668D6" w:rsidP="009F007E">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Grenig, Stippach, Twigger &amp; Marean, Electronically stored information, Electronic Discovery and Records and Information Management Guide § 1:2 (2015).</w:t>
      </w:r>
    </w:p>
  </w:footnote>
  <w:footnote w:id="3">
    <w:p w14:paraId="564AD0FD" w14:textId="77777777" w:rsidR="00B668D6" w:rsidRPr="00273D24" w:rsidRDefault="00B668D6" w:rsidP="00FE32C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Daniel R. Murray, </w:t>
      </w:r>
      <w:r w:rsidRPr="00273D24">
        <w:rPr>
          <w:rFonts w:ascii="Times New Roman" w:hAnsi="Times New Roman" w:cs="Times New Roman"/>
          <w:i/>
          <w:sz w:val="24"/>
          <w:szCs w:val="24"/>
        </w:rPr>
        <w:t>Taking a Byte Out of Discovery: How the Properties of Electronically Stores Information Have Shaped E-Discovery</w:t>
      </w:r>
      <w:r w:rsidRPr="00273D24">
        <w:rPr>
          <w:rFonts w:ascii="Times New Roman" w:hAnsi="Times New Roman" w:cs="Times New Roman"/>
          <w:sz w:val="24"/>
          <w:szCs w:val="24"/>
        </w:rPr>
        <w:t>, 41 No. 1 UCC L. J. ART 2 (2008).</w:t>
      </w:r>
    </w:p>
  </w:footnote>
  <w:footnote w:id="4">
    <w:p w14:paraId="0F406C07"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Zubulake v. UBS Warburg LLC</w:t>
      </w:r>
      <w:r w:rsidRPr="00273D24">
        <w:rPr>
          <w:rFonts w:ascii="Times New Roman" w:hAnsi="Times New Roman" w:cs="Times New Roman"/>
          <w:sz w:val="24"/>
          <w:szCs w:val="24"/>
        </w:rPr>
        <w:t>, 217 F.R.D. 309 (S.D.N.Y. 2003).</w:t>
      </w:r>
    </w:p>
  </w:footnote>
  <w:footnote w:id="5">
    <w:p w14:paraId="357D1485"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r w:rsidRPr="00273D24">
        <w:rPr>
          <w:rFonts w:ascii="Times New Roman" w:hAnsi="Times New Roman" w:cs="Times New Roman"/>
          <w:sz w:val="24"/>
          <w:szCs w:val="24"/>
        </w:rPr>
        <w:t xml:space="preserve"> at 318.</w:t>
      </w:r>
    </w:p>
  </w:footnote>
  <w:footnote w:id="6">
    <w:p w14:paraId="1A891334"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r w:rsidRPr="00273D24">
        <w:rPr>
          <w:rFonts w:ascii="Times New Roman" w:hAnsi="Times New Roman" w:cs="Times New Roman"/>
          <w:sz w:val="24"/>
          <w:szCs w:val="24"/>
        </w:rPr>
        <w:t xml:space="preserve"> at 324.</w:t>
      </w:r>
    </w:p>
  </w:footnote>
  <w:footnote w:id="7">
    <w:p w14:paraId="17B2600D"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8">
    <w:p w14:paraId="311B8201"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Zubulake</w:t>
      </w:r>
      <w:r w:rsidRPr="00273D24">
        <w:rPr>
          <w:rFonts w:ascii="Times New Roman" w:hAnsi="Times New Roman" w:cs="Times New Roman"/>
          <w:sz w:val="24"/>
          <w:szCs w:val="24"/>
        </w:rPr>
        <w:t>, 217 F.R.D. at 324.</w:t>
      </w:r>
    </w:p>
  </w:footnote>
  <w:footnote w:id="9">
    <w:p w14:paraId="07572B72"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Kenneth J. Withers, </w:t>
      </w:r>
      <w:r w:rsidRPr="00273D24">
        <w:rPr>
          <w:rFonts w:ascii="Times New Roman" w:hAnsi="Times New Roman" w:cs="Times New Roman"/>
          <w:i/>
          <w:sz w:val="24"/>
          <w:szCs w:val="24"/>
        </w:rPr>
        <w:t>Electronically Stored Information: The December 2006 Amendments to the Federal Rules of Civil Procedure</w:t>
      </w:r>
      <w:r w:rsidRPr="00273D24">
        <w:rPr>
          <w:rFonts w:ascii="Times New Roman" w:hAnsi="Times New Roman" w:cs="Times New Roman"/>
          <w:sz w:val="24"/>
          <w:szCs w:val="24"/>
        </w:rPr>
        <w:t xml:space="preserve">, 4 </w:t>
      </w:r>
      <w:r w:rsidRPr="00273D24">
        <w:rPr>
          <w:rFonts w:ascii="Times New Roman" w:hAnsi="Times New Roman" w:cs="Times New Roman"/>
          <w:smallCaps/>
          <w:sz w:val="24"/>
          <w:szCs w:val="24"/>
        </w:rPr>
        <w:t>Nw. J. Tech. &amp; Intell. Prop</w:t>
      </w:r>
      <w:r w:rsidRPr="00273D24">
        <w:rPr>
          <w:rFonts w:ascii="Times New Roman" w:hAnsi="Times New Roman" w:cs="Times New Roman"/>
          <w:sz w:val="24"/>
          <w:szCs w:val="24"/>
        </w:rPr>
        <w:t>. 171, 7 (2006).</w:t>
      </w:r>
    </w:p>
  </w:footnote>
  <w:footnote w:id="10">
    <w:p w14:paraId="362A680A" w14:textId="77777777" w:rsidR="00B668D6" w:rsidRPr="00273D24" w:rsidRDefault="00B668D6" w:rsidP="007375A5">
      <w:pPr>
        <w:spacing w:after="0" w:line="240" w:lineRule="auto"/>
        <w:rPr>
          <w:rFonts w:ascii="Times New Roman" w:eastAsia="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11">
    <w:p w14:paraId="13E6273F" w14:textId="4B6ABD8F" w:rsidR="00B668D6" w:rsidRPr="00273D24" w:rsidRDefault="00B668D6" w:rsidP="006A4C4F">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mallCaps/>
          <w:sz w:val="24"/>
          <w:szCs w:val="24"/>
        </w:rPr>
        <w:t>Fed. R. Civ. P</w:t>
      </w:r>
      <w:r w:rsidRPr="00273D24">
        <w:rPr>
          <w:rFonts w:ascii="Times New Roman" w:hAnsi="Times New Roman" w:cs="Times New Roman"/>
          <w:sz w:val="24"/>
          <w:szCs w:val="24"/>
        </w:rPr>
        <w:t>. 34(a)</w:t>
      </w:r>
      <w:r w:rsidR="0029639D" w:rsidRPr="00273D24">
        <w:rPr>
          <w:rFonts w:ascii="Times New Roman" w:hAnsi="Times New Roman" w:cs="Times New Roman"/>
          <w:sz w:val="24"/>
          <w:szCs w:val="24"/>
        </w:rPr>
        <w:t>.</w:t>
      </w:r>
    </w:p>
  </w:footnote>
  <w:footnote w:id="12">
    <w:p w14:paraId="7F7C46AB"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mallCaps/>
          <w:sz w:val="24"/>
          <w:szCs w:val="24"/>
        </w:rPr>
        <w:t>Fed. R. Civ. P</w:t>
      </w:r>
      <w:r w:rsidRPr="00273D24">
        <w:rPr>
          <w:rFonts w:ascii="Times New Roman" w:hAnsi="Times New Roman" w:cs="Times New Roman"/>
          <w:sz w:val="24"/>
          <w:szCs w:val="24"/>
        </w:rPr>
        <w:t xml:space="preserve">. 26(b)(2)(B). </w:t>
      </w:r>
    </w:p>
  </w:footnote>
  <w:footnote w:id="13">
    <w:p w14:paraId="5DB00375" w14:textId="77777777" w:rsidR="00B668D6" w:rsidRPr="00273D24" w:rsidRDefault="00B668D6">
      <w:pPr>
        <w:pStyle w:val="FootnoteText"/>
        <w:rPr>
          <w:rFonts w:ascii="Times New Roman" w:hAnsi="Times New Roman" w:cs="Times New Roman"/>
          <w:sz w:val="24"/>
          <w:szCs w:val="24"/>
          <w:u w:val="single"/>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mallCaps/>
          <w:sz w:val="24"/>
          <w:szCs w:val="24"/>
        </w:rPr>
        <w:t>Fed. R. Civ. P</w:t>
      </w:r>
      <w:r w:rsidRPr="00273D24">
        <w:rPr>
          <w:rFonts w:ascii="Times New Roman" w:hAnsi="Times New Roman" w:cs="Times New Roman"/>
          <w:sz w:val="24"/>
          <w:szCs w:val="24"/>
        </w:rPr>
        <w:t xml:space="preserve">. 26 advisory committee’s note.  By way of example, the Committee considered the following as “reasonably accessible” ESI: “electronically stored information form active computer servers, files on regularly accessed shared network drives, computer data saved to the hard drives of individual computers, and e-mails stored in currently accessible folders or mailboxes.”  </w:t>
      </w:r>
      <w:r w:rsidRPr="00273D24">
        <w:rPr>
          <w:rFonts w:ascii="Times New Roman" w:hAnsi="Times New Roman" w:cs="Times New Roman"/>
          <w:sz w:val="24"/>
          <w:szCs w:val="24"/>
          <w:u w:val="single"/>
        </w:rPr>
        <w:t>Id.</w:t>
      </w:r>
    </w:p>
  </w:footnote>
  <w:footnote w:id="14">
    <w:p w14:paraId="44818ABA" w14:textId="77777777" w:rsidR="00B668D6" w:rsidRPr="00273D24" w:rsidRDefault="00B668D6" w:rsidP="009705D6">
      <w:pPr>
        <w:pStyle w:val="FootnoteText"/>
        <w:rPr>
          <w:rFonts w:ascii="Times New Roman" w:hAnsi="Times New Roman" w:cs="Times New Roman"/>
          <w:sz w:val="24"/>
          <w:szCs w:val="24"/>
          <w:u w:val="single"/>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r w:rsidRPr="00273D24">
        <w:rPr>
          <w:rFonts w:ascii="Times New Roman" w:hAnsi="Times New Roman" w:cs="Times New Roman"/>
          <w:sz w:val="24"/>
          <w:szCs w:val="24"/>
        </w:rPr>
        <w:t xml:space="preserve"> This category of ESI includes “archival materials, backup tapes, or other materials in a system that may retain information on sources that are accessible only by incurring substantial burdens or costs.”  </w:t>
      </w:r>
      <w:r w:rsidRPr="00273D24">
        <w:rPr>
          <w:rFonts w:ascii="Times New Roman" w:hAnsi="Times New Roman" w:cs="Times New Roman"/>
          <w:sz w:val="24"/>
          <w:szCs w:val="24"/>
          <w:u w:val="single"/>
        </w:rPr>
        <w:t>Id.</w:t>
      </w:r>
    </w:p>
  </w:footnote>
  <w:footnote w:id="15">
    <w:p w14:paraId="38B3D8A3"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16">
    <w:p w14:paraId="668AC199"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17">
    <w:p w14:paraId="7432095C" w14:textId="77777777" w:rsidR="00B668D6" w:rsidRPr="00273D24" w:rsidRDefault="00B668D6" w:rsidP="00485C17">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mallCaps/>
          <w:sz w:val="24"/>
          <w:szCs w:val="24"/>
        </w:rPr>
        <w:t>Fed. R. Civ</w:t>
      </w:r>
      <w:r w:rsidRPr="00273D24">
        <w:rPr>
          <w:rFonts w:ascii="Times New Roman" w:hAnsi="Times New Roman" w:cs="Times New Roman"/>
          <w:sz w:val="24"/>
          <w:szCs w:val="24"/>
        </w:rPr>
        <w:t>. P. 26(b)(2)(B).</w:t>
      </w:r>
    </w:p>
  </w:footnote>
  <w:footnote w:id="18">
    <w:p w14:paraId="3E9DF526" w14:textId="77777777" w:rsidR="00B668D6" w:rsidRPr="00273D24" w:rsidRDefault="00B668D6" w:rsidP="009B1A7F">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Infinite Energy, Inc. v. Chang</w:t>
      </w:r>
      <w:r w:rsidRPr="00273D24">
        <w:rPr>
          <w:rFonts w:ascii="Times New Roman" w:hAnsi="Times New Roman" w:cs="Times New Roman"/>
          <w:sz w:val="24"/>
          <w:szCs w:val="24"/>
        </w:rPr>
        <w:t xml:space="preserve">, No. 1:07-cv-23, 2008 LEXIS 88084, at *5 (N.D. Fla. Aug. 29, 2008) (stating that the producing party “must respond to each discovery request served in this case and identify each responsive document.”). </w:t>
      </w:r>
    </w:p>
  </w:footnote>
  <w:footnote w:id="19">
    <w:p w14:paraId="4CD28DD8" w14:textId="7A27B9C2"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mallCaps/>
          <w:sz w:val="24"/>
          <w:szCs w:val="24"/>
        </w:rPr>
        <w:t>Fed. R. Civ. P</w:t>
      </w:r>
      <w:r w:rsidRPr="00273D24">
        <w:rPr>
          <w:rFonts w:ascii="Times New Roman" w:hAnsi="Times New Roman" w:cs="Times New Roman"/>
          <w:sz w:val="24"/>
          <w:szCs w:val="24"/>
        </w:rPr>
        <w:t>. 34</w:t>
      </w:r>
      <w:r w:rsidR="0029639D" w:rsidRPr="00273D24">
        <w:rPr>
          <w:rFonts w:ascii="Times New Roman" w:hAnsi="Times New Roman" w:cs="Times New Roman"/>
          <w:sz w:val="24"/>
          <w:szCs w:val="24"/>
        </w:rPr>
        <w:t>(a)(1)(A)</w:t>
      </w:r>
      <w:r w:rsidRPr="00273D24">
        <w:rPr>
          <w:rFonts w:ascii="Times New Roman" w:hAnsi="Times New Roman" w:cs="Times New Roman"/>
          <w:sz w:val="24"/>
          <w:szCs w:val="24"/>
        </w:rPr>
        <w:t>.</w:t>
      </w:r>
    </w:p>
  </w:footnote>
  <w:footnote w:id="20">
    <w:p w14:paraId="4498658B" w14:textId="732967D6"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mallCaps/>
          <w:sz w:val="24"/>
          <w:szCs w:val="24"/>
        </w:rPr>
        <w:t xml:space="preserve">Fed. R. Civ. P. </w:t>
      </w:r>
      <w:r w:rsidR="0029639D" w:rsidRPr="00273D24">
        <w:rPr>
          <w:rFonts w:ascii="Times New Roman" w:hAnsi="Times New Roman" w:cs="Times New Roman"/>
          <w:smallCaps/>
          <w:sz w:val="24"/>
          <w:szCs w:val="24"/>
        </w:rPr>
        <w:t>26(</w:t>
      </w:r>
      <w:r w:rsidR="0029639D" w:rsidRPr="00273D24">
        <w:rPr>
          <w:rFonts w:ascii="Times New Roman" w:hAnsi="Times New Roman" w:cs="Times New Roman"/>
          <w:sz w:val="24"/>
          <w:szCs w:val="24"/>
        </w:rPr>
        <w:t>b)(2)(B).</w:t>
      </w:r>
    </w:p>
  </w:footnote>
  <w:footnote w:id="21">
    <w:p w14:paraId="257C69AD" w14:textId="46F8B948"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mallCaps/>
          <w:sz w:val="24"/>
          <w:szCs w:val="24"/>
        </w:rPr>
        <w:footnoteRef/>
      </w:r>
      <w:r w:rsidRPr="00273D24">
        <w:rPr>
          <w:rFonts w:ascii="Times New Roman" w:hAnsi="Times New Roman" w:cs="Times New Roman"/>
          <w:smallCaps/>
          <w:sz w:val="24"/>
          <w:szCs w:val="24"/>
        </w:rPr>
        <w:t xml:space="preserve"> </w:t>
      </w:r>
      <w:r w:rsidR="0029639D" w:rsidRPr="00273D24">
        <w:rPr>
          <w:rFonts w:ascii="Times New Roman" w:hAnsi="Times New Roman" w:cs="Times New Roman"/>
          <w:smallCaps/>
          <w:sz w:val="24"/>
          <w:szCs w:val="24"/>
          <w:u w:val="single"/>
        </w:rPr>
        <w:t>I</w:t>
      </w:r>
      <w:r w:rsidR="0029639D" w:rsidRPr="00273D24">
        <w:rPr>
          <w:rFonts w:ascii="Times New Roman" w:hAnsi="Times New Roman" w:cs="Times New Roman"/>
          <w:sz w:val="24"/>
          <w:szCs w:val="24"/>
          <w:u w:val="single"/>
        </w:rPr>
        <w:t>d.</w:t>
      </w:r>
    </w:p>
  </w:footnote>
  <w:footnote w:id="22">
    <w:p w14:paraId="30EEE611" w14:textId="149D946C"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0029639D" w:rsidRPr="00273D24">
        <w:rPr>
          <w:rFonts w:ascii="Times New Roman" w:hAnsi="Times New Roman" w:cs="Times New Roman"/>
          <w:smallCaps/>
          <w:sz w:val="24"/>
          <w:szCs w:val="24"/>
          <w:u w:val="single"/>
        </w:rPr>
        <w:t>I</w:t>
      </w:r>
      <w:r w:rsidR="0029639D" w:rsidRPr="00273D24">
        <w:rPr>
          <w:rFonts w:ascii="Times New Roman" w:hAnsi="Times New Roman" w:cs="Times New Roman"/>
          <w:sz w:val="24"/>
          <w:szCs w:val="24"/>
          <w:u w:val="single"/>
        </w:rPr>
        <w:t>d.</w:t>
      </w:r>
    </w:p>
  </w:footnote>
  <w:footnote w:id="23">
    <w:p w14:paraId="57FCFA4F"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mallCaps/>
          <w:sz w:val="24"/>
          <w:szCs w:val="24"/>
        </w:rPr>
        <w:t>Fed. R. Civ</w:t>
      </w:r>
      <w:r w:rsidRPr="00273D24">
        <w:rPr>
          <w:rFonts w:ascii="Times New Roman" w:hAnsi="Times New Roman" w:cs="Times New Roman"/>
          <w:sz w:val="24"/>
          <w:szCs w:val="24"/>
        </w:rPr>
        <w:t>. P. 26(b)(2)(C).</w:t>
      </w:r>
    </w:p>
  </w:footnote>
  <w:footnote w:id="24">
    <w:p w14:paraId="1F1B8444"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Mohmeyer v. Wal-Mart Stores East, L.P.</w:t>
      </w:r>
      <w:r w:rsidRPr="00273D24">
        <w:rPr>
          <w:rFonts w:ascii="Times New Roman" w:hAnsi="Times New Roman" w:cs="Times New Roman"/>
          <w:sz w:val="24"/>
          <w:szCs w:val="24"/>
        </w:rPr>
        <w:t>, No. 09-69-WOB, 2009 WL 4166996, at *3 (E.D. Ky. Nov. 20, 2009) (“A narrow reading . . . is strongly suggested by Rule 37(e).”).</w:t>
      </w:r>
    </w:p>
  </w:footnote>
  <w:footnote w:id="25">
    <w:p w14:paraId="7EBFE013" w14:textId="263355F7" w:rsidR="00D1761D" w:rsidRPr="00273D24" w:rsidRDefault="00D1761D">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mallCaps/>
          <w:sz w:val="24"/>
          <w:szCs w:val="24"/>
        </w:rPr>
        <w:t xml:space="preserve">Fed. R. Civ. P. </w:t>
      </w:r>
      <w:r w:rsidRPr="00273D24">
        <w:rPr>
          <w:rFonts w:ascii="Times New Roman" w:hAnsi="Times New Roman" w:cs="Times New Roman"/>
          <w:sz w:val="24"/>
          <w:szCs w:val="24"/>
        </w:rPr>
        <w:t xml:space="preserve">26(b)(1). </w:t>
      </w:r>
    </w:p>
  </w:footnote>
  <w:footnote w:id="26">
    <w:p w14:paraId="522352B5" w14:textId="134174ED" w:rsidR="00D1761D" w:rsidRPr="00273D24" w:rsidRDefault="00D1761D">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John G. Roberts, Jr., </w:t>
      </w:r>
      <w:r w:rsidRPr="00273D24">
        <w:rPr>
          <w:rFonts w:ascii="Times New Roman" w:hAnsi="Times New Roman" w:cs="Times New Roman"/>
          <w:i/>
          <w:iCs/>
          <w:sz w:val="24"/>
          <w:szCs w:val="24"/>
        </w:rPr>
        <w:t>2015 Year-End Report on the Federal Judiciary</w:t>
      </w:r>
      <w:r w:rsidRPr="00273D24">
        <w:rPr>
          <w:rFonts w:ascii="Times New Roman" w:hAnsi="Times New Roman" w:cs="Times New Roman"/>
          <w:sz w:val="24"/>
          <w:szCs w:val="24"/>
        </w:rPr>
        <w:t>, Dec. 31, 2015, at 6-7.</w:t>
      </w:r>
    </w:p>
  </w:footnote>
  <w:footnote w:id="27">
    <w:p w14:paraId="35E377A5" w14:textId="4C2CAA81" w:rsidR="00C521C4" w:rsidRPr="00273D24" w:rsidRDefault="00C521C4">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In re Arby’s Restaurant Group Inc. Litigation</w:t>
      </w:r>
      <w:r w:rsidRPr="00273D24">
        <w:rPr>
          <w:rFonts w:ascii="Times New Roman" w:hAnsi="Times New Roman" w:cs="Times New Roman"/>
          <w:sz w:val="24"/>
          <w:szCs w:val="24"/>
        </w:rPr>
        <w:t>, No. 1:17-MI-55555-AT, 2018 WL 8666473, at *1 (N.D. Ga. Aug. 16, 2018).</w:t>
      </w:r>
    </w:p>
  </w:footnote>
  <w:footnote w:id="28">
    <w:p w14:paraId="7DADD6D4"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mallCaps/>
          <w:sz w:val="24"/>
          <w:szCs w:val="24"/>
        </w:rPr>
        <w:t>Fed. R. Civ</w:t>
      </w:r>
      <w:r w:rsidRPr="00273D24">
        <w:rPr>
          <w:rFonts w:ascii="Times New Roman" w:hAnsi="Times New Roman" w:cs="Times New Roman"/>
          <w:sz w:val="24"/>
          <w:szCs w:val="24"/>
        </w:rPr>
        <w:t xml:space="preserve">. P. 37(f) advisory committee’s note (“A preservation obligation may arise from many sources, including common law, statutes, regulations, or a court order in the case.”). </w:t>
      </w:r>
    </w:p>
  </w:footnote>
  <w:footnote w:id="29">
    <w:p w14:paraId="111770B7"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Fujitsu Ltd. v. Fed. Express Corp.</w:t>
      </w:r>
      <w:r w:rsidRPr="00273D24">
        <w:rPr>
          <w:rFonts w:ascii="Times New Roman" w:hAnsi="Times New Roman" w:cs="Times New Roman"/>
          <w:sz w:val="24"/>
          <w:szCs w:val="24"/>
        </w:rPr>
        <w:t xml:space="preserve">, 247 F.3d 423, 436 (2d Cir. 2001).  </w:t>
      </w:r>
    </w:p>
  </w:footnote>
  <w:footnote w:id="30">
    <w:p w14:paraId="4B4BCCF5" w14:textId="77777777" w:rsidR="00B668D6" w:rsidRPr="00273D24" w:rsidRDefault="00B668D6" w:rsidP="006F7027">
      <w:pPr>
        <w:spacing w:line="240" w:lineRule="auto"/>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Franz. J. Vancura, </w:t>
      </w:r>
      <w:r w:rsidRPr="00273D24">
        <w:rPr>
          <w:rFonts w:ascii="Times New Roman" w:hAnsi="Times New Roman" w:cs="Times New Roman"/>
          <w:i/>
          <w:sz w:val="24"/>
          <w:szCs w:val="24"/>
        </w:rPr>
        <w:t>Using Computer Forensics to Enhance the Discovery of Electronically Stored Information</w:t>
      </w:r>
      <w:r w:rsidRPr="00273D24">
        <w:rPr>
          <w:rFonts w:ascii="Times New Roman" w:hAnsi="Times New Roman" w:cs="Times New Roman"/>
          <w:sz w:val="24"/>
          <w:szCs w:val="24"/>
        </w:rPr>
        <w:t xml:space="preserve">, </w:t>
      </w:r>
      <w:r w:rsidRPr="00273D24">
        <w:rPr>
          <w:rFonts w:ascii="Times New Roman" w:hAnsi="Times New Roman" w:cs="Times New Roman"/>
          <w:smallCaps/>
          <w:sz w:val="24"/>
          <w:szCs w:val="24"/>
        </w:rPr>
        <w:t>7 U. St. Thomas L.J</w:t>
      </w:r>
      <w:r w:rsidRPr="00273D24">
        <w:rPr>
          <w:rFonts w:ascii="Times New Roman" w:hAnsi="Times New Roman" w:cs="Times New Roman"/>
          <w:sz w:val="24"/>
          <w:szCs w:val="24"/>
        </w:rPr>
        <w:t xml:space="preserve">. 727 (2010). </w:t>
      </w:r>
    </w:p>
  </w:footnote>
  <w:footnote w:id="31">
    <w:p w14:paraId="3602C0DA"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Franz. J. Vancura</w:t>
      </w:r>
      <w:r w:rsidRPr="00273D24">
        <w:rPr>
          <w:rFonts w:ascii="Times New Roman" w:hAnsi="Times New Roman" w:cs="Times New Roman"/>
          <w:i/>
          <w:sz w:val="24"/>
          <w:szCs w:val="24"/>
        </w:rPr>
        <w:t>, Using Computer Forensics to Enhance the Discovery of Electronically Stored Information</w:t>
      </w:r>
      <w:r w:rsidRPr="00273D24">
        <w:rPr>
          <w:rFonts w:ascii="Times New Roman" w:hAnsi="Times New Roman" w:cs="Times New Roman"/>
          <w:sz w:val="24"/>
          <w:szCs w:val="24"/>
        </w:rPr>
        <w:t xml:space="preserve">, 7 U. </w:t>
      </w:r>
      <w:r w:rsidRPr="00273D24">
        <w:rPr>
          <w:rFonts w:ascii="Times New Roman" w:hAnsi="Times New Roman" w:cs="Times New Roman"/>
          <w:smallCaps/>
          <w:sz w:val="24"/>
          <w:szCs w:val="24"/>
        </w:rPr>
        <w:t>St. Thomas</w:t>
      </w:r>
      <w:r w:rsidRPr="00273D24">
        <w:rPr>
          <w:rFonts w:ascii="Times New Roman" w:hAnsi="Times New Roman" w:cs="Times New Roman"/>
          <w:sz w:val="24"/>
          <w:szCs w:val="24"/>
        </w:rPr>
        <w:t xml:space="preserve"> L.J. 727 (2010); </w:t>
      </w:r>
      <w:r w:rsidRPr="00273D24">
        <w:rPr>
          <w:rFonts w:ascii="Times New Roman" w:hAnsi="Times New Roman" w:cs="Times New Roman"/>
          <w:sz w:val="24"/>
          <w:szCs w:val="24"/>
          <w:u w:val="single"/>
        </w:rPr>
        <w:t>see also</w:t>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Velasco v. Commercial Bldg. Maint. Co.</w:t>
      </w:r>
      <w:r w:rsidRPr="00273D24">
        <w:rPr>
          <w:rFonts w:ascii="Times New Roman" w:hAnsi="Times New Roman" w:cs="Times New Roman"/>
          <w:sz w:val="24"/>
          <w:szCs w:val="24"/>
        </w:rPr>
        <w:t>, 169 Cal. App. 3d 874, 877-78 (1985).</w:t>
      </w:r>
    </w:p>
  </w:footnote>
  <w:footnote w:id="32">
    <w:p w14:paraId="22AD299D"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33">
    <w:p w14:paraId="68222B46"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mallCaps/>
          <w:sz w:val="24"/>
          <w:szCs w:val="24"/>
        </w:rPr>
        <w:t>Fed. R. Civ</w:t>
      </w:r>
      <w:r w:rsidRPr="00273D24">
        <w:rPr>
          <w:rFonts w:ascii="Times New Roman" w:hAnsi="Times New Roman" w:cs="Times New Roman"/>
          <w:sz w:val="24"/>
          <w:szCs w:val="24"/>
        </w:rPr>
        <w:t xml:space="preserve">. P. 26(b)(1). </w:t>
      </w:r>
    </w:p>
  </w:footnote>
  <w:footnote w:id="34">
    <w:p w14:paraId="01E301F6"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Zubulake v. UBS Warburg LLC</w:t>
      </w:r>
      <w:r w:rsidRPr="00273D24">
        <w:rPr>
          <w:rFonts w:ascii="Times New Roman" w:hAnsi="Times New Roman" w:cs="Times New Roman"/>
          <w:sz w:val="24"/>
          <w:szCs w:val="24"/>
        </w:rPr>
        <w:t>, 229 F.R.D. 422, 433 (S.D.N.Y. 2004)(“[T]he notion of a ‘duty to preserve’ connotes an ongoing obligation.”).</w:t>
      </w:r>
    </w:p>
  </w:footnote>
  <w:footnote w:id="35">
    <w:p w14:paraId="7CCEF28F"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r w:rsidRPr="00273D24">
        <w:rPr>
          <w:rFonts w:ascii="Times New Roman" w:hAnsi="Times New Roman" w:cs="Times New Roman"/>
          <w:sz w:val="24"/>
          <w:szCs w:val="24"/>
        </w:rPr>
        <w:t xml:space="preserve"> </w:t>
      </w:r>
    </w:p>
  </w:footnote>
  <w:footnote w:id="36">
    <w:p w14:paraId="2A3C60FF"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In re Grand Jury Subpoena</w:t>
      </w:r>
      <w:r w:rsidRPr="00273D24">
        <w:rPr>
          <w:rFonts w:ascii="Times New Roman" w:hAnsi="Times New Roman" w:cs="Times New Roman"/>
          <w:sz w:val="24"/>
          <w:szCs w:val="24"/>
        </w:rPr>
        <w:t>, 274 F.3d 563, 576 (1st Cir. 2001).</w:t>
      </w:r>
    </w:p>
  </w:footnote>
  <w:footnote w:id="37">
    <w:p w14:paraId="6961E995"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See</w:t>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Chin v. Port Auth. of New York &amp; New Jersey</w:t>
      </w:r>
      <w:r w:rsidRPr="00273D24">
        <w:rPr>
          <w:rFonts w:ascii="Times New Roman" w:hAnsi="Times New Roman" w:cs="Times New Roman"/>
          <w:sz w:val="24"/>
          <w:szCs w:val="24"/>
        </w:rPr>
        <w:t xml:space="preserve">, 685 F.3d 135, 162 (2d Cir. 2012) (holding that lack of litigation hold notice is not gross negligence </w:t>
      </w:r>
      <w:r w:rsidRPr="00273D24">
        <w:rPr>
          <w:rFonts w:ascii="Times New Roman" w:hAnsi="Times New Roman" w:cs="Times New Roman"/>
          <w:i/>
          <w:sz w:val="24"/>
          <w:szCs w:val="24"/>
        </w:rPr>
        <w:t>per se</w:t>
      </w:r>
      <w:r w:rsidRPr="00273D24">
        <w:rPr>
          <w:rFonts w:ascii="Times New Roman" w:hAnsi="Times New Roman" w:cs="Times New Roman"/>
          <w:sz w:val="24"/>
          <w:szCs w:val="24"/>
        </w:rPr>
        <w:t xml:space="preserve">, but is considered in imposing spoliation sanctions).  </w:t>
      </w:r>
    </w:p>
  </w:footnote>
  <w:footnote w:id="38">
    <w:p w14:paraId="6C4AD5E3"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Sonny S. Hayes, </w:t>
      </w:r>
      <w:r w:rsidRPr="00273D24">
        <w:rPr>
          <w:rFonts w:ascii="Times New Roman" w:hAnsi="Times New Roman" w:cs="Times New Roman"/>
          <w:i/>
          <w:sz w:val="24"/>
          <w:szCs w:val="24"/>
        </w:rPr>
        <w:t>Best Practices: Litigation Holds and Resolving Spoliation Motions</w:t>
      </w:r>
      <w:r w:rsidRPr="00273D24">
        <w:rPr>
          <w:rFonts w:ascii="Times New Roman" w:hAnsi="Times New Roman" w:cs="Times New Roman"/>
          <w:sz w:val="24"/>
          <w:szCs w:val="24"/>
        </w:rPr>
        <w:t>, 57 No. 4 DRI for Def. 30 (2015).</w:t>
      </w:r>
    </w:p>
  </w:footnote>
  <w:footnote w:id="39">
    <w:p w14:paraId="0DFC60BA" w14:textId="77777777" w:rsidR="00B668D6" w:rsidRPr="00273D24" w:rsidRDefault="00B668D6" w:rsidP="008C7C6A">
      <w:pPr>
        <w:spacing w:after="0" w:line="240" w:lineRule="auto"/>
        <w:rPr>
          <w:rFonts w:ascii="Times New Roman" w:eastAsia="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eastAsia="Times New Roman" w:hAnsi="Times New Roman" w:cs="Times New Roman"/>
          <w:sz w:val="24"/>
          <w:szCs w:val="24"/>
        </w:rPr>
        <w:t xml:space="preserve">J. Brian Beckham, </w:t>
      </w:r>
      <w:r w:rsidRPr="00273D24">
        <w:rPr>
          <w:rFonts w:ascii="Times New Roman" w:eastAsia="Times New Roman" w:hAnsi="Times New Roman" w:cs="Times New Roman"/>
          <w:i/>
          <w:iCs/>
          <w:sz w:val="24"/>
          <w:szCs w:val="24"/>
        </w:rPr>
        <w:t>Production, Preservation, and Disclosure of Metadata</w:t>
      </w:r>
      <w:r w:rsidRPr="00273D24">
        <w:rPr>
          <w:rFonts w:ascii="Times New Roman" w:eastAsia="Times New Roman" w:hAnsi="Times New Roman" w:cs="Times New Roman"/>
          <w:sz w:val="24"/>
          <w:szCs w:val="24"/>
        </w:rPr>
        <w:t xml:space="preserve">, 7 </w:t>
      </w:r>
      <w:r w:rsidRPr="00273D24">
        <w:rPr>
          <w:rFonts w:ascii="Times New Roman" w:eastAsia="Times New Roman" w:hAnsi="Times New Roman" w:cs="Times New Roman"/>
          <w:smallCaps/>
          <w:sz w:val="24"/>
          <w:szCs w:val="24"/>
        </w:rPr>
        <w:t>Colum. Sci. &amp; Tech. L.</w:t>
      </w:r>
      <w:r w:rsidRPr="00273D24">
        <w:rPr>
          <w:rFonts w:ascii="Times New Roman" w:eastAsia="Times New Roman" w:hAnsi="Times New Roman" w:cs="Times New Roman"/>
          <w:sz w:val="24"/>
          <w:szCs w:val="24"/>
        </w:rPr>
        <w:t xml:space="preserve"> Rev. 1, 7 (2006).</w:t>
      </w:r>
    </w:p>
  </w:footnote>
  <w:footnote w:id="40">
    <w:p w14:paraId="26176B68"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American Law Reports, </w:t>
      </w:r>
      <w:r w:rsidRPr="00273D24">
        <w:rPr>
          <w:rFonts w:ascii="Times New Roman" w:hAnsi="Times New Roman" w:cs="Times New Roman"/>
          <w:i/>
          <w:sz w:val="24"/>
          <w:szCs w:val="24"/>
        </w:rPr>
        <w:t>Discoverability of Metadata</w:t>
      </w:r>
      <w:r w:rsidRPr="00273D24">
        <w:rPr>
          <w:rFonts w:ascii="Times New Roman" w:hAnsi="Times New Roman" w:cs="Times New Roman"/>
          <w:sz w:val="24"/>
          <w:szCs w:val="24"/>
        </w:rPr>
        <w:t xml:space="preserve">, 29 A.L.R. 6th 167 (2007). </w:t>
      </w:r>
    </w:p>
  </w:footnote>
  <w:footnote w:id="41">
    <w:p w14:paraId="6B803238"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David Hricik, </w:t>
      </w:r>
      <w:r w:rsidRPr="00273D24">
        <w:rPr>
          <w:rFonts w:ascii="Times New Roman" w:hAnsi="Times New Roman" w:cs="Times New Roman"/>
          <w:i/>
          <w:sz w:val="24"/>
          <w:szCs w:val="24"/>
        </w:rPr>
        <w:t>The Transmission and Receipt of Invisible Confidential Information</w:t>
      </w:r>
      <w:r w:rsidRPr="00273D24">
        <w:rPr>
          <w:rFonts w:ascii="Times New Roman" w:hAnsi="Times New Roman" w:cs="Times New Roman"/>
          <w:sz w:val="24"/>
          <w:szCs w:val="24"/>
        </w:rPr>
        <w:t>, http:// www.hricik.com/eethics/Metadata1103.doc (2003).</w:t>
      </w:r>
    </w:p>
  </w:footnote>
  <w:footnote w:id="42">
    <w:p w14:paraId="30138C73" w14:textId="77777777" w:rsidR="00B668D6" w:rsidRPr="00273D24" w:rsidRDefault="00B668D6" w:rsidP="008C7C6A">
      <w:pPr>
        <w:spacing w:after="0"/>
        <w:rPr>
          <w:rFonts w:ascii="Times New Roman" w:eastAsia="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eastAsia="Times New Roman" w:hAnsi="Times New Roman" w:cs="Times New Roman"/>
          <w:sz w:val="24"/>
          <w:szCs w:val="24"/>
        </w:rPr>
        <w:t xml:space="preserve">Scott Nagel, </w:t>
      </w:r>
      <w:r w:rsidRPr="00273D24">
        <w:rPr>
          <w:rFonts w:ascii="Times New Roman" w:eastAsia="Times New Roman" w:hAnsi="Times New Roman" w:cs="Times New Roman"/>
          <w:i/>
          <w:iCs/>
          <w:sz w:val="24"/>
          <w:szCs w:val="24"/>
        </w:rPr>
        <w:t>Embedded Information in Electronic Documents: Why Metadata Matters</w:t>
      </w:r>
      <w:r w:rsidRPr="00273D24">
        <w:rPr>
          <w:rFonts w:ascii="Times New Roman" w:eastAsia="Times New Roman" w:hAnsi="Times New Roman" w:cs="Times New Roman"/>
          <w:sz w:val="24"/>
          <w:szCs w:val="24"/>
        </w:rPr>
        <w:t xml:space="preserve"> (July, 2004), http:// www.abanet.org/lpm/lpt/articles/ftr07044.html.</w:t>
      </w:r>
    </w:p>
  </w:footnote>
  <w:footnote w:id="43">
    <w:p w14:paraId="78FFE639"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eastAsia="Times New Roman" w:hAnsi="Times New Roman" w:cs="Times New Roman"/>
          <w:sz w:val="24"/>
          <w:szCs w:val="24"/>
        </w:rPr>
        <w:t xml:space="preserve">Beckham, </w:t>
      </w:r>
      <w:r w:rsidRPr="00273D24">
        <w:rPr>
          <w:rFonts w:ascii="Times New Roman" w:eastAsia="Times New Roman" w:hAnsi="Times New Roman" w:cs="Times New Roman"/>
          <w:i/>
          <w:iCs/>
          <w:sz w:val="24"/>
          <w:szCs w:val="24"/>
        </w:rPr>
        <w:t>supra</w:t>
      </w:r>
      <w:r w:rsidRPr="00273D24">
        <w:rPr>
          <w:rFonts w:ascii="Times New Roman" w:eastAsia="Times New Roman" w:hAnsi="Times New Roman" w:cs="Times New Roman"/>
          <w:iCs/>
          <w:sz w:val="24"/>
          <w:szCs w:val="24"/>
        </w:rPr>
        <w:t xml:space="preserve"> n. 36</w:t>
      </w:r>
      <w:r w:rsidRPr="00273D24">
        <w:rPr>
          <w:rFonts w:ascii="Times New Roman" w:eastAsia="Times New Roman" w:hAnsi="Times New Roman" w:cs="Times New Roman"/>
          <w:sz w:val="24"/>
          <w:szCs w:val="24"/>
        </w:rPr>
        <w:t>.</w:t>
      </w:r>
    </w:p>
  </w:footnote>
  <w:footnote w:id="44">
    <w:p w14:paraId="0C301FBB"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Douglas R. Richmond, Metadata, </w:t>
      </w:r>
      <w:r w:rsidRPr="00273D24">
        <w:rPr>
          <w:rFonts w:ascii="Times New Roman" w:hAnsi="Times New Roman" w:cs="Times New Roman"/>
          <w:smallCaps/>
          <w:sz w:val="24"/>
          <w:szCs w:val="24"/>
        </w:rPr>
        <w:t>33. E. Min. L. Found</w:t>
      </w:r>
      <w:r w:rsidRPr="00273D24">
        <w:rPr>
          <w:rFonts w:ascii="Times New Roman" w:hAnsi="Times New Roman" w:cs="Times New Roman"/>
          <w:sz w:val="24"/>
          <w:szCs w:val="24"/>
        </w:rPr>
        <w:t>. § 5.03 (2012).</w:t>
      </w:r>
    </w:p>
  </w:footnote>
  <w:footnote w:id="45">
    <w:p w14:paraId="2D3E08B3"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46">
    <w:p w14:paraId="3FE0849B"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47">
    <w:p w14:paraId="234C1663"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48">
    <w:p w14:paraId="390392E8"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ABA Comm. on Ethics &amp; Prof’l Responsibility, Formal Op. 06-442 (2006).</w:t>
      </w:r>
    </w:p>
  </w:footnote>
  <w:footnote w:id="49">
    <w:p w14:paraId="592797EF"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Douglas R. Richmond, </w:t>
      </w:r>
      <w:r w:rsidRPr="00273D24">
        <w:rPr>
          <w:rFonts w:ascii="Times New Roman" w:hAnsi="Times New Roman" w:cs="Times New Roman"/>
          <w:i/>
          <w:sz w:val="24"/>
          <w:szCs w:val="24"/>
        </w:rPr>
        <w:t>Metadata</w:t>
      </w:r>
      <w:r w:rsidRPr="00273D24">
        <w:rPr>
          <w:rFonts w:ascii="Times New Roman" w:hAnsi="Times New Roman" w:cs="Times New Roman"/>
          <w:sz w:val="24"/>
          <w:szCs w:val="24"/>
        </w:rPr>
        <w:t xml:space="preserve">, </w:t>
      </w:r>
      <w:r w:rsidRPr="00273D24">
        <w:rPr>
          <w:rFonts w:ascii="Times New Roman" w:hAnsi="Times New Roman" w:cs="Times New Roman"/>
          <w:smallCaps/>
          <w:sz w:val="24"/>
          <w:szCs w:val="24"/>
        </w:rPr>
        <w:t>33. E. Min. L. Found</w:t>
      </w:r>
      <w:r w:rsidRPr="00273D24">
        <w:rPr>
          <w:rFonts w:ascii="Times New Roman" w:hAnsi="Times New Roman" w:cs="Times New Roman"/>
          <w:sz w:val="24"/>
          <w:szCs w:val="24"/>
        </w:rPr>
        <w:t>. § 5.03 (2012).</w:t>
      </w:r>
    </w:p>
  </w:footnote>
  <w:footnote w:id="50">
    <w:p w14:paraId="5EFC9ADE"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NY Eth. Op. 749, 2001 WL 1890308, at *2. </w:t>
      </w:r>
    </w:p>
  </w:footnote>
  <w:footnote w:id="51">
    <w:p w14:paraId="1BCE17D5"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52">
    <w:p w14:paraId="4C751068" w14:textId="77777777" w:rsidR="00B668D6" w:rsidRPr="00273D24" w:rsidRDefault="00B668D6" w:rsidP="008C7C6A">
      <w:pPr>
        <w:spacing w:after="0" w:line="240" w:lineRule="auto"/>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Crystal Thorpe, </w:t>
      </w:r>
      <w:r w:rsidRPr="00273D24">
        <w:rPr>
          <w:rFonts w:ascii="Times New Roman" w:hAnsi="Times New Roman" w:cs="Times New Roman"/>
          <w:i/>
          <w:sz w:val="24"/>
          <w:szCs w:val="24"/>
        </w:rPr>
        <w:t>Metadata: The Dangers of Metadata Compel Issuing Ethical Duties to "Scrub" and Prohibit the "Mining" of Metadata</w:t>
      </w:r>
      <w:r w:rsidRPr="00273D24">
        <w:rPr>
          <w:rFonts w:ascii="Times New Roman" w:hAnsi="Times New Roman" w:cs="Times New Roman"/>
          <w:sz w:val="24"/>
          <w:szCs w:val="24"/>
        </w:rPr>
        <w:t xml:space="preserve">, 84 </w:t>
      </w:r>
      <w:r w:rsidRPr="00273D24">
        <w:rPr>
          <w:rFonts w:ascii="Times New Roman" w:hAnsi="Times New Roman" w:cs="Times New Roman"/>
          <w:smallCaps/>
          <w:sz w:val="24"/>
          <w:szCs w:val="24"/>
        </w:rPr>
        <w:t>N.D.L. Rev</w:t>
      </w:r>
      <w:r w:rsidRPr="00273D24">
        <w:rPr>
          <w:rFonts w:ascii="Times New Roman" w:hAnsi="Times New Roman" w:cs="Times New Roman"/>
          <w:sz w:val="24"/>
          <w:szCs w:val="24"/>
        </w:rPr>
        <w:t>. 257, 281 (2008).</w:t>
      </w:r>
    </w:p>
  </w:footnote>
  <w:footnote w:id="53">
    <w:p w14:paraId="4203514E" w14:textId="77777777" w:rsidR="00B668D6" w:rsidRPr="00273D24" w:rsidRDefault="00B668D6" w:rsidP="008C7C6A">
      <w:pPr>
        <w:spacing w:after="0" w:line="240" w:lineRule="auto"/>
        <w:rPr>
          <w:rFonts w:ascii="Times New Roman" w:eastAsia="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eastAsia="Times New Roman" w:hAnsi="Times New Roman" w:cs="Times New Roman"/>
          <w:sz w:val="24"/>
          <w:szCs w:val="24"/>
        </w:rPr>
        <w:t xml:space="preserve">Shari Claire Lewis, </w:t>
      </w:r>
      <w:r w:rsidRPr="00273D24">
        <w:rPr>
          <w:rFonts w:ascii="Times New Roman" w:eastAsia="Times New Roman" w:hAnsi="Times New Roman" w:cs="Times New Roman"/>
          <w:i/>
          <w:sz w:val="24"/>
          <w:szCs w:val="24"/>
        </w:rPr>
        <w:t>Reckoning With Metadata</w:t>
      </w:r>
      <w:r w:rsidRPr="00273D24">
        <w:rPr>
          <w:rFonts w:ascii="Times New Roman" w:eastAsia="Times New Roman" w:hAnsi="Times New Roman" w:cs="Times New Roman"/>
          <w:sz w:val="24"/>
          <w:szCs w:val="24"/>
        </w:rPr>
        <w:t>, N.Y. L.J., Dec. 19, 2005, available at http://www.law.com/jsp/law/sfb/lawArticleFriendlySFB.jsp? id=1134727515889.</w:t>
      </w:r>
    </w:p>
  </w:footnote>
  <w:footnote w:id="54">
    <w:p w14:paraId="1452E9EA" w14:textId="77777777" w:rsidR="00B668D6" w:rsidRPr="00273D24" w:rsidRDefault="00B668D6" w:rsidP="008C7C6A">
      <w:pPr>
        <w:spacing w:after="0" w:line="240" w:lineRule="auto"/>
        <w:rPr>
          <w:rFonts w:ascii="Times New Roman" w:eastAsia="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eastAsia="Times New Roman" w:hAnsi="Times New Roman" w:cs="Times New Roman"/>
          <w:sz w:val="24"/>
          <w:szCs w:val="24"/>
        </w:rPr>
        <w:t xml:space="preserve">Crystal Thorpe, </w:t>
      </w:r>
      <w:r w:rsidRPr="00273D24">
        <w:rPr>
          <w:rFonts w:ascii="Times New Roman" w:eastAsia="Times New Roman" w:hAnsi="Times New Roman" w:cs="Times New Roman"/>
          <w:i/>
          <w:sz w:val="24"/>
          <w:szCs w:val="24"/>
        </w:rPr>
        <w:t>Metadata: The Dangers of Metadata Compel Issuing Ethical Duties to "Scrub" and Prohibit the "Mining" of Metadata</w:t>
      </w:r>
      <w:r w:rsidRPr="00273D24">
        <w:rPr>
          <w:rFonts w:ascii="Times New Roman" w:eastAsia="Times New Roman" w:hAnsi="Times New Roman" w:cs="Times New Roman"/>
          <w:sz w:val="24"/>
          <w:szCs w:val="24"/>
        </w:rPr>
        <w:t xml:space="preserve">, 84 </w:t>
      </w:r>
      <w:r w:rsidRPr="00273D24">
        <w:rPr>
          <w:rFonts w:ascii="Times New Roman" w:eastAsia="Times New Roman" w:hAnsi="Times New Roman" w:cs="Times New Roman"/>
          <w:smallCaps/>
          <w:sz w:val="24"/>
          <w:szCs w:val="24"/>
        </w:rPr>
        <w:t>N.D.L. Rev</w:t>
      </w:r>
      <w:r w:rsidRPr="00273D24">
        <w:rPr>
          <w:rFonts w:ascii="Times New Roman" w:eastAsia="Times New Roman" w:hAnsi="Times New Roman" w:cs="Times New Roman"/>
          <w:sz w:val="24"/>
          <w:szCs w:val="24"/>
        </w:rPr>
        <w:t>. 257, 284 (2008).</w:t>
      </w:r>
    </w:p>
  </w:footnote>
  <w:footnote w:id="55">
    <w:p w14:paraId="4BE481E9" w14:textId="77777777" w:rsidR="00B668D6" w:rsidRPr="00273D24" w:rsidRDefault="00B668D6" w:rsidP="008C7C6A">
      <w:pPr>
        <w:spacing w:after="0" w:line="240" w:lineRule="auto"/>
        <w:rPr>
          <w:rFonts w:ascii="Times New Roman" w:eastAsia="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eastAsia="Times New Roman" w:hAnsi="Times New Roman" w:cs="Times New Roman"/>
          <w:sz w:val="24"/>
          <w:szCs w:val="24"/>
        </w:rPr>
        <w:t xml:space="preserve">John Levin, </w:t>
      </w:r>
      <w:r w:rsidRPr="00273D24">
        <w:rPr>
          <w:rFonts w:ascii="Times New Roman" w:eastAsia="Times New Roman" w:hAnsi="Times New Roman" w:cs="Times New Roman"/>
          <w:i/>
          <w:sz w:val="24"/>
          <w:szCs w:val="24"/>
        </w:rPr>
        <w:t>Legal Ethics: What to Do With Metadata</w:t>
      </w:r>
      <w:r w:rsidRPr="00273D24">
        <w:rPr>
          <w:rFonts w:ascii="Times New Roman" w:eastAsia="Times New Roman" w:hAnsi="Times New Roman" w:cs="Times New Roman"/>
          <w:sz w:val="24"/>
          <w:szCs w:val="24"/>
        </w:rPr>
        <w:t xml:space="preserve">, 21 </w:t>
      </w:r>
      <w:r w:rsidRPr="00273D24">
        <w:rPr>
          <w:rFonts w:ascii="Times New Roman" w:eastAsia="Times New Roman" w:hAnsi="Times New Roman" w:cs="Times New Roman"/>
          <w:smallCaps/>
          <w:sz w:val="24"/>
          <w:szCs w:val="24"/>
        </w:rPr>
        <w:t>CBA Rec</w:t>
      </w:r>
      <w:r w:rsidRPr="00273D24">
        <w:rPr>
          <w:rFonts w:ascii="Times New Roman" w:eastAsia="Times New Roman" w:hAnsi="Times New Roman" w:cs="Times New Roman"/>
          <w:sz w:val="24"/>
          <w:szCs w:val="24"/>
        </w:rPr>
        <w:t>. 68, 68 (June/July 2007).</w:t>
      </w:r>
    </w:p>
  </w:footnote>
  <w:footnote w:id="56">
    <w:p w14:paraId="1858A190" w14:textId="77777777" w:rsidR="00B668D6" w:rsidRPr="00273D24" w:rsidRDefault="00B668D6" w:rsidP="008C7C6A">
      <w:pPr>
        <w:spacing w:after="0" w:line="240" w:lineRule="auto"/>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Adam K. Israel, </w:t>
      </w:r>
      <w:r w:rsidRPr="00273D24">
        <w:rPr>
          <w:rFonts w:ascii="Times New Roman" w:hAnsi="Times New Roman" w:cs="Times New Roman"/>
          <w:i/>
          <w:sz w:val="24"/>
          <w:szCs w:val="24"/>
        </w:rPr>
        <w:t>To Scrub or Not to Scrub: The Ethical Implications of Metadata and Electronic Data Creation, Exchange, and Discovery</w:t>
      </w:r>
      <w:r w:rsidRPr="00273D24">
        <w:rPr>
          <w:rFonts w:ascii="Times New Roman" w:hAnsi="Times New Roman" w:cs="Times New Roman"/>
          <w:sz w:val="24"/>
          <w:szCs w:val="24"/>
        </w:rPr>
        <w:t xml:space="preserve">, </w:t>
      </w:r>
      <w:r w:rsidRPr="00273D24">
        <w:rPr>
          <w:rFonts w:ascii="Times New Roman" w:hAnsi="Times New Roman" w:cs="Times New Roman"/>
          <w:smallCaps/>
          <w:sz w:val="24"/>
          <w:szCs w:val="24"/>
        </w:rPr>
        <w:t>60 Ala. L. Rev</w:t>
      </w:r>
      <w:r w:rsidRPr="00273D24">
        <w:rPr>
          <w:rFonts w:ascii="Times New Roman" w:hAnsi="Times New Roman" w:cs="Times New Roman"/>
          <w:sz w:val="24"/>
          <w:szCs w:val="24"/>
        </w:rPr>
        <w:t>. 469 (2009).</w:t>
      </w:r>
    </w:p>
  </w:footnote>
  <w:footnote w:id="57">
    <w:p w14:paraId="1B3AC398" w14:textId="77777777" w:rsidR="00B668D6" w:rsidRPr="00273D24" w:rsidRDefault="00B668D6" w:rsidP="008C7C6A">
      <w:pPr>
        <w:spacing w:after="0"/>
        <w:rPr>
          <w:rFonts w:ascii="Times New Roman" w:eastAsia="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eastAsia="Times New Roman" w:hAnsi="Times New Roman" w:cs="Times New Roman"/>
          <w:sz w:val="24"/>
          <w:szCs w:val="24"/>
        </w:rPr>
        <w:t xml:space="preserve">Brian D. Zall, </w:t>
      </w:r>
      <w:r w:rsidRPr="00273D24">
        <w:rPr>
          <w:rFonts w:ascii="Times New Roman" w:eastAsia="Times New Roman" w:hAnsi="Times New Roman" w:cs="Times New Roman"/>
          <w:i/>
          <w:sz w:val="24"/>
          <w:szCs w:val="24"/>
        </w:rPr>
        <w:t>Metadata: Hidden Information in Microsoft Word Documents and Its Ethical Implications</w:t>
      </w:r>
      <w:r w:rsidRPr="00273D24">
        <w:rPr>
          <w:rFonts w:ascii="Times New Roman" w:eastAsia="Times New Roman" w:hAnsi="Times New Roman" w:cs="Times New Roman"/>
          <w:sz w:val="24"/>
          <w:szCs w:val="24"/>
        </w:rPr>
        <w:t xml:space="preserve">, 33 </w:t>
      </w:r>
      <w:r w:rsidRPr="00273D24">
        <w:rPr>
          <w:rFonts w:ascii="Times New Roman" w:eastAsia="Times New Roman" w:hAnsi="Times New Roman" w:cs="Times New Roman"/>
          <w:smallCaps/>
          <w:sz w:val="24"/>
          <w:szCs w:val="24"/>
        </w:rPr>
        <w:t>Colo. Law</w:t>
      </w:r>
      <w:r w:rsidRPr="00273D24">
        <w:rPr>
          <w:rFonts w:ascii="Times New Roman" w:eastAsia="Times New Roman" w:hAnsi="Times New Roman" w:cs="Times New Roman"/>
          <w:sz w:val="24"/>
          <w:szCs w:val="24"/>
        </w:rPr>
        <w:t>., Oct. 2004, at 53.</w:t>
      </w:r>
    </w:p>
  </w:footnote>
  <w:footnote w:id="58">
    <w:p w14:paraId="386E4D20"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Israel, </w:t>
      </w:r>
      <w:r w:rsidRPr="00273D24">
        <w:rPr>
          <w:rFonts w:ascii="Times New Roman" w:hAnsi="Times New Roman" w:cs="Times New Roman"/>
          <w:i/>
          <w:sz w:val="24"/>
          <w:szCs w:val="24"/>
        </w:rPr>
        <w:t>supra</w:t>
      </w:r>
      <w:r w:rsidRPr="00273D24">
        <w:rPr>
          <w:rFonts w:ascii="Times New Roman" w:hAnsi="Times New Roman" w:cs="Times New Roman"/>
          <w:sz w:val="24"/>
          <w:szCs w:val="24"/>
        </w:rPr>
        <w:t xml:space="preserve"> n. 53.</w:t>
      </w:r>
    </w:p>
  </w:footnote>
  <w:footnote w:id="59">
    <w:p w14:paraId="7A919339"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60">
    <w:p w14:paraId="3DC9E04D"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Michael Arnold, </w:t>
      </w:r>
      <w:r w:rsidRPr="00273D24">
        <w:rPr>
          <w:rFonts w:ascii="Times New Roman" w:hAnsi="Times New Roman" w:cs="Times New Roman"/>
          <w:i/>
          <w:sz w:val="24"/>
          <w:szCs w:val="24"/>
        </w:rPr>
        <w:t>Collecting Data from Mobile Devices</w:t>
      </w:r>
      <w:r w:rsidRPr="00273D24">
        <w:rPr>
          <w:rFonts w:ascii="Times New Roman" w:hAnsi="Times New Roman" w:cs="Times New Roman"/>
          <w:sz w:val="24"/>
          <w:szCs w:val="24"/>
        </w:rPr>
        <w:t>, American Bar Association Litigation News (2012).</w:t>
      </w:r>
    </w:p>
  </w:footnote>
  <w:footnote w:id="61">
    <w:p w14:paraId="04AEC7B6" w14:textId="77777777" w:rsidR="00B668D6" w:rsidRPr="00273D24" w:rsidRDefault="00B668D6" w:rsidP="008C7C6A">
      <w:pPr>
        <w:pStyle w:val="FootnoteText"/>
        <w:rPr>
          <w:rFonts w:ascii="Times New Roman" w:hAnsi="Times New Roman" w:cs="Times New Roman"/>
          <w:sz w:val="24"/>
          <w:szCs w:val="24"/>
          <w:u w:val="single"/>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u w:val="single"/>
        </w:rPr>
        <w:t>Id.</w:t>
      </w:r>
    </w:p>
  </w:footnote>
  <w:footnote w:id="62">
    <w:p w14:paraId="40304D82" w14:textId="77777777" w:rsidR="00B668D6" w:rsidRPr="00273D24" w:rsidRDefault="00B668D6" w:rsidP="008C7C6A">
      <w:pPr>
        <w:pStyle w:val="FootnoteText"/>
        <w:rPr>
          <w:rFonts w:ascii="Times New Roman" w:hAnsi="Times New Roman" w:cs="Times New Roman"/>
          <w:sz w:val="24"/>
          <w:szCs w:val="24"/>
          <w:u w:val="single"/>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63">
    <w:p w14:paraId="181A5D81"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64">
    <w:p w14:paraId="4681D935"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Charles Vaccaro, </w:t>
      </w:r>
      <w:r w:rsidRPr="00273D24">
        <w:rPr>
          <w:rFonts w:ascii="Times New Roman" w:hAnsi="Times New Roman" w:cs="Times New Roman"/>
          <w:i/>
          <w:sz w:val="24"/>
          <w:szCs w:val="24"/>
        </w:rPr>
        <w:t>Look Before You Leap into Predictive Coding: An Argument for A Cautious Approach to Utilizing Predictive Coding</w:t>
      </w:r>
      <w:r w:rsidRPr="00273D24">
        <w:rPr>
          <w:rFonts w:ascii="Times New Roman" w:hAnsi="Times New Roman" w:cs="Times New Roman"/>
          <w:sz w:val="24"/>
          <w:szCs w:val="24"/>
        </w:rPr>
        <w:t xml:space="preserve">, 41 </w:t>
      </w:r>
      <w:r w:rsidRPr="00273D24">
        <w:rPr>
          <w:rFonts w:ascii="Times New Roman" w:hAnsi="Times New Roman" w:cs="Times New Roman"/>
          <w:smallCaps/>
          <w:sz w:val="24"/>
          <w:szCs w:val="24"/>
        </w:rPr>
        <w:t>Rutgers Computer &amp; Tech. L.J.</w:t>
      </w:r>
      <w:r w:rsidRPr="00273D24">
        <w:rPr>
          <w:rFonts w:ascii="Times New Roman" w:hAnsi="Times New Roman" w:cs="Times New Roman"/>
          <w:sz w:val="24"/>
          <w:szCs w:val="24"/>
        </w:rPr>
        <w:t xml:space="preserve"> 298, 335 (2015).</w:t>
      </w:r>
    </w:p>
  </w:footnote>
  <w:footnote w:id="65">
    <w:p w14:paraId="7E769AB2" w14:textId="77777777" w:rsidR="00B668D6" w:rsidRPr="00273D24" w:rsidRDefault="00B668D6" w:rsidP="008C7C6A">
      <w:pPr>
        <w:spacing w:after="0"/>
        <w:rPr>
          <w:rFonts w:ascii="Times New Roman" w:eastAsia="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eastAsia="Times New Roman" w:hAnsi="Times New Roman" w:cs="Times New Roman"/>
          <w:sz w:val="24"/>
          <w:szCs w:val="24"/>
        </w:rPr>
        <w:t xml:space="preserve">Nicholas Barry, </w:t>
      </w:r>
      <w:r w:rsidRPr="00273D24">
        <w:rPr>
          <w:rFonts w:ascii="Times New Roman" w:eastAsia="Times New Roman" w:hAnsi="Times New Roman" w:cs="Times New Roman"/>
          <w:i/>
          <w:iCs/>
          <w:sz w:val="24"/>
          <w:szCs w:val="24"/>
        </w:rPr>
        <w:t>Man Versus Machine Review: The Showdown Between Hordes of Discovery Lawyers and A Computer-Utilizing Predictive-Coding Technology</w:t>
      </w:r>
      <w:r w:rsidRPr="00273D24">
        <w:rPr>
          <w:rFonts w:ascii="Times New Roman" w:eastAsia="Times New Roman" w:hAnsi="Times New Roman" w:cs="Times New Roman"/>
          <w:sz w:val="24"/>
          <w:szCs w:val="24"/>
        </w:rPr>
        <w:t xml:space="preserve">, 15 </w:t>
      </w:r>
      <w:r w:rsidRPr="00273D24">
        <w:rPr>
          <w:rFonts w:ascii="Times New Roman" w:eastAsia="Times New Roman" w:hAnsi="Times New Roman" w:cs="Times New Roman"/>
          <w:smallCaps/>
          <w:sz w:val="24"/>
          <w:szCs w:val="24"/>
        </w:rPr>
        <w:t xml:space="preserve">Vand. J. Ent. &amp; Tech. L. </w:t>
      </w:r>
      <w:r w:rsidRPr="00273D24">
        <w:rPr>
          <w:rFonts w:ascii="Times New Roman" w:eastAsia="Times New Roman" w:hAnsi="Times New Roman" w:cs="Times New Roman"/>
          <w:sz w:val="24"/>
          <w:szCs w:val="24"/>
        </w:rPr>
        <w:t>343, 354 (2013).</w:t>
      </w:r>
    </w:p>
  </w:footnote>
  <w:footnote w:id="66">
    <w:p w14:paraId="271993B4"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Matthew Nelson, </w:t>
      </w:r>
      <w:r w:rsidRPr="00273D24">
        <w:rPr>
          <w:rFonts w:ascii="Times New Roman" w:hAnsi="Times New Roman" w:cs="Times New Roman"/>
          <w:i/>
          <w:sz w:val="24"/>
          <w:szCs w:val="24"/>
        </w:rPr>
        <w:t>Shining a Light into the Black Box of E-discovery Predictive Coding</w:t>
      </w:r>
      <w:r w:rsidRPr="00273D24">
        <w:rPr>
          <w:rFonts w:ascii="Times New Roman" w:hAnsi="Times New Roman" w:cs="Times New Roman"/>
          <w:sz w:val="24"/>
          <w:szCs w:val="24"/>
        </w:rPr>
        <w:t xml:space="preserve">, Corporate Counsel (May 29, 2012), http:// www.corpcounsel.com/id=1202556081861. </w:t>
      </w:r>
    </w:p>
  </w:footnote>
  <w:footnote w:id="67">
    <w:p w14:paraId="1B442FBE" w14:textId="77777777" w:rsidR="00B668D6" w:rsidRPr="00273D24" w:rsidRDefault="00B668D6" w:rsidP="008C7C6A">
      <w:pPr>
        <w:pStyle w:val="FootnoteText"/>
        <w:rPr>
          <w:rFonts w:ascii="Times New Roman" w:hAnsi="Times New Roman" w:cs="Times New Roman"/>
          <w:sz w:val="24"/>
          <w:szCs w:val="24"/>
          <w:u w:val="single"/>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68">
    <w:p w14:paraId="21E84D37"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69">
    <w:p w14:paraId="67E6EB81"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Rich Turner &amp; Cathy Story, </w:t>
      </w:r>
      <w:r w:rsidRPr="00273D24">
        <w:rPr>
          <w:rFonts w:ascii="Times New Roman" w:hAnsi="Times New Roman" w:cs="Times New Roman"/>
          <w:i/>
          <w:sz w:val="24"/>
          <w:szCs w:val="24"/>
        </w:rPr>
        <w:t>Controlling Discovery Costs: Early Case Assessment Manages Litigation Costs</w:t>
      </w:r>
      <w:r w:rsidRPr="00273D24">
        <w:rPr>
          <w:rFonts w:ascii="Times New Roman" w:hAnsi="Times New Roman" w:cs="Times New Roman"/>
          <w:sz w:val="24"/>
          <w:szCs w:val="24"/>
        </w:rPr>
        <w:t>, Content Analyst 1 (2009), available at http://www.contentanalyst.com/images/images/whitepaper_early_case_assessment_ controls_eDiscovery_costs.pdf.</w:t>
      </w:r>
    </w:p>
  </w:footnote>
  <w:footnote w:id="70">
    <w:p w14:paraId="20E59A5E"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Jason R. Baron, </w:t>
      </w:r>
      <w:r w:rsidRPr="00273D24">
        <w:rPr>
          <w:rFonts w:ascii="Times New Roman" w:hAnsi="Times New Roman" w:cs="Times New Roman"/>
          <w:i/>
          <w:sz w:val="24"/>
          <w:szCs w:val="24"/>
        </w:rPr>
        <w:t>Law in the Age of Exabytes: Some Further Thoughts on “Information Inflation” and Current Issues in E-Discovery Search</w:t>
      </w:r>
      <w:r w:rsidRPr="00273D24">
        <w:rPr>
          <w:rFonts w:ascii="Times New Roman" w:hAnsi="Times New Roman" w:cs="Times New Roman"/>
          <w:sz w:val="24"/>
          <w:szCs w:val="24"/>
        </w:rPr>
        <w:t xml:space="preserve">, </w:t>
      </w:r>
      <w:r w:rsidRPr="00273D24">
        <w:rPr>
          <w:rFonts w:ascii="Times New Roman" w:hAnsi="Times New Roman" w:cs="Times New Roman"/>
          <w:smallCaps/>
          <w:sz w:val="24"/>
          <w:szCs w:val="24"/>
        </w:rPr>
        <w:t>17 Rich. J.L. &amp; Tech. 9, P 33</w:t>
      </w:r>
      <w:r w:rsidRPr="00273D24">
        <w:rPr>
          <w:rFonts w:ascii="Times New Roman" w:hAnsi="Times New Roman" w:cs="Times New Roman"/>
          <w:sz w:val="24"/>
          <w:szCs w:val="24"/>
        </w:rPr>
        <w:t xml:space="preserve"> (2011).</w:t>
      </w:r>
    </w:p>
  </w:footnote>
  <w:footnote w:id="71">
    <w:p w14:paraId="235FCE35"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72">
    <w:p w14:paraId="2D769ABA"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Nicholas Barry, Man Versus Machine Review: The Showdown Between Hordes of Discovery Lawyers and A Computer-Utilizing Predictive-Coding Technology, 15 </w:t>
      </w:r>
      <w:r w:rsidRPr="00273D24">
        <w:rPr>
          <w:rFonts w:ascii="Times New Roman" w:hAnsi="Times New Roman" w:cs="Times New Roman"/>
          <w:smallCaps/>
          <w:sz w:val="24"/>
          <w:szCs w:val="24"/>
        </w:rPr>
        <w:t>Vand. J. Ent. &amp; Tech. L</w:t>
      </w:r>
      <w:r w:rsidRPr="00273D24">
        <w:rPr>
          <w:rFonts w:ascii="Times New Roman" w:hAnsi="Times New Roman" w:cs="Times New Roman"/>
          <w:sz w:val="24"/>
          <w:szCs w:val="24"/>
        </w:rPr>
        <w:t>. 343, 364 (2013).</w:t>
      </w:r>
    </w:p>
  </w:footnote>
  <w:footnote w:id="73">
    <w:p w14:paraId="3A1A9262"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74">
    <w:p w14:paraId="286E9803"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Nelson, </w:t>
      </w:r>
      <w:r w:rsidRPr="00273D24">
        <w:rPr>
          <w:rFonts w:ascii="Times New Roman" w:hAnsi="Times New Roman" w:cs="Times New Roman"/>
          <w:i/>
          <w:sz w:val="24"/>
          <w:szCs w:val="24"/>
        </w:rPr>
        <w:t xml:space="preserve">supra </w:t>
      </w:r>
      <w:r w:rsidRPr="00273D24">
        <w:rPr>
          <w:rFonts w:ascii="Times New Roman" w:hAnsi="Times New Roman" w:cs="Times New Roman"/>
          <w:sz w:val="24"/>
          <w:szCs w:val="24"/>
        </w:rPr>
        <w:t>n.63.</w:t>
      </w:r>
    </w:p>
  </w:footnote>
  <w:footnote w:id="75">
    <w:p w14:paraId="35CA7FD6"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76">
    <w:p w14:paraId="3496F8EE" w14:textId="77777777" w:rsidR="00B668D6" w:rsidRPr="00273D24" w:rsidRDefault="00B668D6" w:rsidP="008C7C6A">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Joseph H. Looby, E-Discovery - Taking Predictive Coding Out of the Black Box, FTI JOURNAL (Nov. 2012), available at http:// ftijournal.com/article/taking-predictive-coding-out-of-the-black-box-deleted.</w:t>
      </w:r>
    </w:p>
  </w:footnote>
  <w:footnote w:id="77">
    <w:p w14:paraId="1ED8812E"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West v. Goodyear Tire &amp; Rubber Co.</w:t>
      </w:r>
      <w:r w:rsidRPr="00273D24">
        <w:rPr>
          <w:rFonts w:ascii="Times New Roman" w:hAnsi="Times New Roman" w:cs="Times New Roman"/>
          <w:sz w:val="24"/>
          <w:szCs w:val="24"/>
        </w:rPr>
        <w:t>, 167 F.3d 776, 779 (2d Cir. 1999).</w:t>
      </w:r>
    </w:p>
  </w:footnote>
  <w:footnote w:id="78">
    <w:p w14:paraId="72E07675"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China Ocean Shipping Co. v. Simone Metals, Inc.</w:t>
      </w:r>
      <w:r w:rsidRPr="00273D24">
        <w:rPr>
          <w:rFonts w:ascii="Times New Roman" w:hAnsi="Times New Roman" w:cs="Times New Roman"/>
          <w:sz w:val="24"/>
          <w:szCs w:val="24"/>
        </w:rPr>
        <w:t>, No. 97 C2694, 1999 WL 966443, at *3 (N.D. Ill. Sept. 30, 1999).</w:t>
      </w:r>
    </w:p>
  </w:footnote>
  <w:footnote w:id="79">
    <w:p w14:paraId="1EBF4B71" w14:textId="5C83938E" w:rsidR="00652A61" w:rsidRPr="00273D24" w:rsidRDefault="00652A61">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mallCaps/>
          <w:sz w:val="24"/>
          <w:szCs w:val="24"/>
        </w:rPr>
        <w:t xml:space="preserve">Fed. R. Civ. P. 37 </w:t>
      </w:r>
      <w:r w:rsidRPr="00273D24">
        <w:rPr>
          <w:rFonts w:ascii="Times New Roman" w:hAnsi="Times New Roman" w:cs="Times New Roman"/>
          <w:sz w:val="24"/>
          <w:szCs w:val="24"/>
        </w:rPr>
        <w:t>advisory committee’s notes (2006 amendment).</w:t>
      </w:r>
    </w:p>
  </w:footnote>
  <w:footnote w:id="80">
    <w:p w14:paraId="366E5090" w14:textId="02498910" w:rsidR="00D14898" w:rsidRPr="00273D24" w:rsidRDefault="00D14898">
      <w:pPr>
        <w:pStyle w:val="FootnoteText"/>
        <w:rPr>
          <w:rFonts w:ascii="Times New Roman" w:hAnsi="Times New Roman" w:cs="Times New Roman"/>
          <w:smallCaps/>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mallCaps/>
          <w:sz w:val="24"/>
          <w:szCs w:val="24"/>
        </w:rPr>
        <w:t xml:space="preserve">Fed. R. Civ. P. </w:t>
      </w:r>
      <w:r w:rsidRPr="00273D24">
        <w:rPr>
          <w:rFonts w:ascii="Times New Roman" w:hAnsi="Times New Roman" w:cs="Times New Roman"/>
          <w:sz w:val="24"/>
          <w:szCs w:val="24"/>
        </w:rPr>
        <w:t>37 advisory committee’s notes</w:t>
      </w:r>
      <w:r w:rsidR="00652A61" w:rsidRPr="00273D24">
        <w:rPr>
          <w:rFonts w:ascii="Times New Roman" w:hAnsi="Times New Roman" w:cs="Times New Roman"/>
          <w:sz w:val="24"/>
          <w:szCs w:val="24"/>
        </w:rPr>
        <w:t xml:space="preserve"> (2015 amendment)</w:t>
      </w:r>
      <w:r w:rsidRPr="00273D24">
        <w:rPr>
          <w:rFonts w:ascii="Times New Roman" w:hAnsi="Times New Roman" w:cs="Times New Roman"/>
          <w:sz w:val="24"/>
          <w:szCs w:val="24"/>
        </w:rPr>
        <w:t>.</w:t>
      </w:r>
    </w:p>
  </w:footnote>
  <w:footnote w:id="81">
    <w:p w14:paraId="7F4A3AAE" w14:textId="745AABEC" w:rsidR="006C5867" w:rsidRPr="00273D24" w:rsidRDefault="006C5867">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00637EC9" w:rsidRPr="00273D24">
        <w:rPr>
          <w:rFonts w:ascii="Times New Roman" w:hAnsi="Times New Roman" w:cs="Times New Roman"/>
          <w:sz w:val="24"/>
          <w:szCs w:val="24"/>
          <w:u w:val="single"/>
        </w:rPr>
        <w:t>Id.</w:t>
      </w:r>
    </w:p>
  </w:footnote>
  <w:footnote w:id="82">
    <w:p w14:paraId="3F72C5B7" w14:textId="70571825" w:rsidR="00637EC9" w:rsidRPr="00273D24" w:rsidRDefault="00637EC9">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83">
    <w:p w14:paraId="5EBB94B1" w14:textId="0B48762B" w:rsidR="006D75EC" w:rsidRPr="00273D24" w:rsidRDefault="006D75EC">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0006422D" w:rsidRPr="00273D24">
        <w:rPr>
          <w:rFonts w:ascii="Times New Roman" w:hAnsi="Times New Roman" w:cs="Times New Roman"/>
          <w:smallCaps/>
          <w:sz w:val="24"/>
          <w:szCs w:val="24"/>
          <w:u w:val="single"/>
        </w:rPr>
        <w:t>S</w:t>
      </w:r>
      <w:r w:rsidR="0006422D" w:rsidRPr="00273D24">
        <w:rPr>
          <w:rFonts w:ascii="Times New Roman" w:hAnsi="Times New Roman" w:cs="Times New Roman"/>
          <w:sz w:val="24"/>
          <w:szCs w:val="24"/>
          <w:u w:val="single"/>
        </w:rPr>
        <w:t>osa v. Carnival Corp.</w:t>
      </w:r>
      <w:r w:rsidR="0006422D" w:rsidRPr="00273D24">
        <w:rPr>
          <w:rFonts w:ascii="Times New Roman" w:hAnsi="Times New Roman" w:cs="Times New Roman"/>
          <w:sz w:val="24"/>
          <w:szCs w:val="24"/>
        </w:rPr>
        <w:t xml:space="preserve">, </w:t>
      </w:r>
      <w:r w:rsidR="005B4135" w:rsidRPr="00273D24">
        <w:rPr>
          <w:rFonts w:ascii="Times New Roman" w:hAnsi="Times New Roman" w:cs="Times New Roman"/>
          <w:sz w:val="24"/>
          <w:szCs w:val="24"/>
        </w:rPr>
        <w:t xml:space="preserve">No. 18-20957, 2018 WL 6335178, at *10 (S.D. Fla. Dec. 4, 2018). </w:t>
      </w:r>
    </w:p>
  </w:footnote>
  <w:footnote w:id="84">
    <w:p w14:paraId="287A15EA" w14:textId="3F093F6C" w:rsidR="005B4135" w:rsidRPr="00273D24" w:rsidRDefault="005B4135">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mallCaps/>
          <w:sz w:val="24"/>
          <w:szCs w:val="24"/>
        </w:rPr>
        <w:t xml:space="preserve">Fed. R. Civ. P. </w:t>
      </w:r>
      <w:r w:rsidRPr="00273D24">
        <w:rPr>
          <w:rFonts w:ascii="Times New Roman" w:hAnsi="Times New Roman" w:cs="Times New Roman"/>
          <w:sz w:val="24"/>
          <w:szCs w:val="24"/>
        </w:rPr>
        <w:t xml:space="preserve">37(e); </w:t>
      </w:r>
      <w:r w:rsidRPr="00273D24">
        <w:rPr>
          <w:rFonts w:ascii="Times New Roman" w:hAnsi="Times New Roman" w:cs="Times New Roman"/>
          <w:sz w:val="24"/>
          <w:szCs w:val="24"/>
          <w:u w:val="single"/>
        </w:rPr>
        <w:t>In re Abilify</w:t>
      </w:r>
      <w:r w:rsidRPr="00273D24">
        <w:rPr>
          <w:rFonts w:ascii="Times New Roman" w:hAnsi="Times New Roman" w:cs="Times New Roman"/>
          <w:sz w:val="24"/>
          <w:szCs w:val="24"/>
        </w:rPr>
        <w:t>, No. 3:16-md-2734, 2018 WL 4856767, at *2 (N.D. Fla. Oct. 5, 2018).</w:t>
      </w:r>
    </w:p>
  </w:footnote>
  <w:footnote w:id="85">
    <w:p w14:paraId="48D6AB5C" w14:textId="734B1BCF" w:rsidR="00F4356D" w:rsidRPr="00273D24" w:rsidRDefault="00F4356D">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Ala. Aircraft Indus., Inc. v. Boeing Co.</w:t>
      </w:r>
      <w:r w:rsidRPr="00273D24">
        <w:rPr>
          <w:rFonts w:ascii="Times New Roman" w:hAnsi="Times New Roman" w:cs="Times New Roman"/>
          <w:sz w:val="24"/>
          <w:szCs w:val="24"/>
        </w:rPr>
        <w:t xml:space="preserve">, 319 F.R.D. 730, 743 (N.D. Ala. 2017). </w:t>
      </w:r>
    </w:p>
  </w:footnote>
  <w:footnote w:id="86">
    <w:p w14:paraId="648F04FD" w14:textId="7DA16E37" w:rsidR="00F4356D" w:rsidRPr="00273D24" w:rsidRDefault="00F4356D">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mallCaps/>
          <w:sz w:val="24"/>
          <w:szCs w:val="24"/>
        </w:rPr>
        <w:t>Fed R. Civ. P. 37(</w:t>
      </w:r>
      <w:r w:rsidRPr="00273D24">
        <w:rPr>
          <w:rFonts w:ascii="Times New Roman" w:hAnsi="Times New Roman" w:cs="Times New Roman"/>
          <w:sz w:val="24"/>
          <w:szCs w:val="24"/>
        </w:rPr>
        <w:t>e)(2).</w:t>
      </w:r>
    </w:p>
  </w:footnote>
  <w:footnote w:id="87">
    <w:p w14:paraId="35E8D9A4" w14:textId="44D70DE6" w:rsidR="00BB0112" w:rsidRPr="00273D24" w:rsidRDefault="00BB0112">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mallCaps/>
          <w:sz w:val="24"/>
          <w:szCs w:val="24"/>
        </w:rPr>
        <w:t xml:space="preserve">Fed. R. Civ. P. </w:t>
      </w:r>
      <w:r w:rsidRPr="00273D24">
        <w:rPr>
          <w:rFonts w:ascii="Times New Roman" w:hAnsi="Times New Roman" w:cs="Times New Roman"/>
          <w:sz w:val="24"/>
          <w:szCs w:val="24"/>
        </w:rPr>
        <w:t>37(e)(1).</w:t>
      </w:r>
    </w:p>
  </w:footnote>
  <w:footnote w:id="88">
    <w:p w14:paraId="2D3964EE" w14:textId="2C0BF4F8" w:rsidR="002D5D87" w:rsidRPr="00273D24" w:rsidRDefault="002D5D87">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Ala. Aircraft</w:t>
      </w:r>
      <w:r w:rsidRPr="00273D24">
        <w:rPr>
          <w:rFonts w:ascii="Times New Roman" w:hAnsi="Times New Roman" w:cs="Times New Roman"/>
          <w:sz w:val="24"/>
          <w:szCs w:val="24"/>
        </w:rPr>
        <w:t>, 319 F.R.D. at 746.</w:t>
      </w:r>
    </w:p>
  </w:footnote>
  <w:footnote w:id="89">
    <w:p w14:paraId="793DA354" w14:textId="49FE285E" w:rsidR="002D5D87" w:rsidRPr="00273D24" w:rsidRDefault="002D5D87">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90">
    <w:p w14:paraId="19B75C27" w14:textId="7CC62A1B" w:rsidR="002D5D87" w:rsidRPr="00273D24" w:rsidRDefault="002D5D87">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91">
    <w:p w14:paraId="5DAFE09F" w14:textId="7994C42E" w:rsidR="006B3A43" w:rsidRPr="00273D24" w:rsidRDefault="006B3A43">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92">
    <w:p w14:paraId="53F95A54" w14:textId="31042664" w:rsidR="006B3A43" w:rsidRPr="00273D24" w:rsidRDefault="006B3A43">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93">
    <w:p w14:paraId="6B6E31E4" w14:textId="3A68862D" w:rsidR="006B3A43" w:rsidRPr="00273D24" w:rsidRDefault="006B3A43">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Lokai Holdings LLC v. Twin Tiger USA LLC</w:t>
      </w:r>
      <w:r w:rsidRPr="00273D24">
        <w:rPr>
          <w:rFonts w:ascii="Times New Roman" w:hAnsi="Times New Roman" w:cs="Times New Roman"/>
          <w:sz w:val="24"/>
          <w:szCs w:val="24"/>
        </w:rPr>
        <w:t xml:space="preserve">, No. 15CV9363, 2018 WL 1512055, at *16 (S.D.N.Y. Mar. 12, 2018) (“this Court will not make a finding of intent to deprive on the basis of suspicion alone”). </w:t>
      </w:r>
    </w:p>
  </w:footnote>
  <w:footnote w:id="94">
    <w:p w14:paraId="6AA12C9A"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mallCaps/>
          <w:sz w:val="24"/>
          <w:szCs w:val="24"/>
        </w:rPr>
        <w:t>Fed. R. Civ. P</w:t>
      </w:r>
      <w:r w:rsidRPr="00273D24">
        <w:rPr>
          <w:rFonts w:ascii="Times New Roman" w:hAnsi="Times New Roman" w:cs="Times New Roman"/>
          <w:sz w:val="24"/>
          <w:szCs w:val="24"/>
        </w:rPr>
        <w:t>. 26(b)(2)(B).</w:t>
      </w:r>
    </w:p>
  </w:footnote>
  <w:footnote w:id="95">
    <w:p w14:paraId="44390967"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Tamburo v. Dworkin</w:t>
      </w:r>
      <w:r w:rsidRPr="00273D24">
        <w:rPr>
          <w:rFonts w:ascii="Times New Roman" w:hAnsi="Times New Roman" w:cs="Times New Roman"/>
          <w:sz w:val="24"/>
          <w:szCs w:val="24"/>
        </w:rPr>
        <w:t xml:space="preserve">, No. 04-C-3317, 2010 WL 4867346, at *3 (N.D. Ill. Nov. 17, 2010). </w:t>
      </w:r>
    </w:p>
  </w:footnote>
  <w:footnote w:id="96">
    <w:p w14:paraId="5B2A9F1D"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The Sedona Conference Commentary of Proportionality in Electronic Discovery, 11 </w:t>
      </w:r>
      <w:r w:rsidRPr="00273D24">
        <w:rPr>
          <w:rFonts w:ascii="Times New Roman" w:hAnsi="Times New Roman" w:cs="Times New Roman"/>
          <w:smallCaps/>
          <w:sz w:val="24"/>
          <w:szCs w:val="24"/>
        </w:rPr>
        <w:t>Sedona Conf. J.</w:t>
      </w:r>
      <w:r w:rsidRPr="00273D24">
        <w:rPr>
          <w:rFonts w:ascii="Times New Roman" w:hAnsi="Times New Roman" w:cs="Times New Roman"/>
          <w:sz w:val="24"/>
          <w:szCs w:val="24"/>
        </w:rPr>
        <w:t xml:space="preserve"> 289 (2010).</w:t>
      </w:r>
    </w:p>
  </w:footnote>
  <w:footnote w:id="97">
    <w:p w14:paraId="0D270E8E"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98">
    <w:p w14:paraId="2E660A18"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John L. Carrol, </w:t>
      </w:r>
      <w:r w:rsidRPr="00273D24">
        <w:rPr>
          <w:rFonts w:ascii="Times New Roman" w:hAnsi="Times New Roman" w:cs="Times New Roman"/>
          <w:i/>
          <w:sz w:val="24"/>
          <w:szCs w:val="24"/>
        </w:rPr>
        <w:t>Proportionality in Discovery: A Cautionary Tale</w:t>
      </w:r>
      <w:r w:rsidRPr="00273D24">
        <w:rPr>
          <w:rFonts w:ascii="Times New Roman" w:hAnsi="Times New Roman" w:cs="Times New Roman"/>
          <w:sz w:val="24"/>
          <w:szCs w:val="24"/>
        </w:rPr>
        <w:t xml:space="preserve">, 32 </w:t>
      </w:r>
      <w:r w:rsidRPr="00273D24">
        <w:rPr>
          <w:rFonts w:ascii="Times New Roman" w:hAnsi="Times New Roman" w:cs="Times New Roman"/>
          <w:smallCaps/>
          <w:sz w:val="24"/>
          <w:szCs w:val="24"/>
        </w:rPr>
        <w:t>Campbell. L. Rev</w:t>
      </w:r>
      <w:r w:rsidRPr="00273D24">
        <w:rPr>
          <w:rFonts w:ascii="Times New Roman" w:hAnsi="Times New Roman" w:cs="Times New Roman"/>
          <w:sz w:val="24"/>
          <w:szCs w:val="24"/>
        </w:rPr>
        <w:t>. 455, 460 (2010).</w:t>
      </w:r>
    </w:p>
  </w:footnote>
  <w:footnote w:id="99">
    <w:p w14:paraId="1B9E1084"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mallCaps/>
          <w:sz w:val="24"/>
          <w:szCs w:val="24"/>
        </w:rPr>
        <w:t>Fed. R. Evid</w:t>
      </w:r>
      <w:r w:rsidRPr="00273D24">
        <w:rPr>
          <w:rFonts w:ascii="Times New Roman" w:hAnsi="Times New Roman" w:cs="Times New Roman"/>
          <w:sz w:val="24"/>
          <w:szCs w:val="24"/>
        </w:rPr>
        <w:t>. 502(d).</w:t>
      </w:r>
    </w:p>
  </w:footnote>
  <w:footnote w:id="100">
    <w:p w14:paraId="19EC4A9B" w14:textId="77777777" w:rsidR="00B668D6" w:rsidRPr="00273D24" w:rsidRDefault="00B668D6" w:rsidP="003F7E64">
      <w:pPr>
        <w:spacing w:after="0" w:line="240" w:lineRule="auto"/>
        <w:rPr>
          <w:rFonts w:ascii="Times New Roman" w:eastAsia="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eastAsia="Times New Roman" w:hAnsi="Times New Roman" w:cs="Times New Roman"/>
          <w:sz w:val="24"/>
          <w:szCs w:val="24"/>
        </w:rPr>
        <w:t xml:space="preserve">Edwin M. Buffmire, </w:t>
      </w:r>
      <w:r w:rsidRPr="00273D24">
        <w:rPr>
          <w:rFonts w:ascii="Times New Roman" w:eastAsia="Times New Roman" w:hAnsi="Times New Roman" w:cs="Times New Roman"/>
          <w:i/>
          <w:iCs/>
          <w:sz w:val="24"/>
          <w:szCs w:val="24"/>
        </w:rPr>
        <w:t>The (Unappreciated) Multidimensional Benefits of Rule 502(d): Why and How Litigants Should Better Utilize the New Federal Rule of Evidence</w:t>
      </w:r>
      <w:r w:rsidRPr="00273D24">
        <w:rPr>
          <w:rFonts w:ascii="Times New Roman" w:eastAsia="Times New Roman" w:hAnsi="Times New Roman" w:cs="Times New Roman"/>
          <w:sz w:val="24"/>
          <w:szCs w:val="24"/>
        </w:rPr>
        <w:t xml:space="preserve">, 79 </w:t>
      </w:r>
      <w:r w:rsidRPr="00273D24">
        <w:rPr>
          <w:rFonts w:ascii="Times New Roman" w:eastAsia="Times New Roman" w:hAnsi="Times New Roman" w:cs="Times New Roman"/>
          <w:smallCaps/>
          <w:sz w:val="24"/>
          <w:szCs w:val="24"/>
        </w:rPr>
        <w:t>Tenn. L. Rev.</w:t>
      </w:r>
      <w:r w:rsidRPr="00273D24">
        <w:rPr>
          <w:rFonts w:ascii="Times New Roman" w:eastAsia="Times New Roman" w:hAnsi="Times New Roman" w:cs="Times New Roman"/>
          <w:sz w:val="24"/>
          <w:szCs w:val="24"/>
        </w:rPr>
        <w:t xml:space="preserve"> 141 (2011).</w:t>
      </w:r>
    </w:p>
  </w:footnote>
  <w:footnote w:id="101">
    <w:p w14:paraId="18F6EE0F" w14:textId="77777777" w:rsidR="00B668D6" w:rsidRPr="00273D24" w:rsidRDefault="00B668D6" w:rsidP="00FA61DE">
      <w:pPr>
        <w:spacing w:after="0" w:line="240" w:lineRule="auto"/>
        <w:rPr>
          <w:rFonts w:ascii="Times New Roman" w:eastAsia="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eastAsia="Times New Roman" w:hAnsi="Times New Roman" w:cs="Times New Roman"/>
          <w:sz w:val="24"/>
          <w:szCs w:val="24"/>
        </w:rPr>
        <w:t xml:space="preserve">Buffmire, </w:t>
      </w:r>
      <w:r w:rsidRPr="00273D24">
        <w:rPr>
          <w:rFonts w:ascii="Times New Roman" w:eastAsia="Times New Roman" w:hAnsi="Times New Roman" w:cs="Times New Roman"/>
          <w:i/>
          <w:sz w:val="24"/>
          <w:szCs w:val="24"/>
        </w:rPr>
        <w:t>supra</w:t>
      </w:r>
      <w:r w:rsidRPr="00273D24">
        <w:rPr>
          <w:rFonts w:ascii="Times New Roman" w:eastAsia="Times New Roman" w:hAnsi="Times New Roman" w:cs="Times New Roman"/>
          <w:sz w:val="24"/>
          <w:szCs w:val="24"/>
        </w:rPr>
        <w:t xml:space="preserve"> n. 97.</w:t>
      </w:r>
    </w:p>
  </w:footnote>
  <w:footnote w:id="102">
    <w:p w14:paraId="54176F71"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103">
    <w:p w14:paraId="221B3285"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Radian Asset Assurance, Inc. v. Coll. of the Christian Bros. of N.M.</w:t>
      </w:r>
      <w:r w:rsidRPr="00273D24">
        <w:rPr>
          <w:rFonts w:ascii="Times New Roman" w:hAnsi="Times New Roman" w:cs="Times New Roman"/>
          <w:sz w:val="24"/>
          <w:szCs w:val="24"/>
        </w:rPr>
        <w:t>, No. 09-0885, 2010 WL 4928866 (D.N.M. Oct. 22, 2010) (ordering production of documents without review because party was protected by Rule 502(d)).</w:t>
      </w:r>
    </w:p>
  </w:footnote>
  <w:footnote w:id="104">
    <w:p w14:paraId="086DE473" w14:textId="77777777" w:rsidR="00B668D6" w:rsidRPr="00273D24" w:rsidRDefault="00B668D6" w:rsidP="001C5198">
      <w:pPr>
        <w:spacing w:after="0" w:line="240" w:lineRule="auto"/>
        <w:rPr>
          <w:rFonts w:ascii="Times New Roman" w:eastAsia="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eastAsia="Times New Roman" w:hAnsi="Times New Roman" w:cs="Times New Roman"/>
          <w:sz w:val="24"/>
          <w:szCs w:val="24"/>
        </w:rPr>
        <w:t xml:space="preserve">Buffmire </w:t>
      </w:r>
      <w:r w:rsidRPr="00273D24">
        <w:rPr>
          <w:rFonts w:ascii="Times New Roman" w:eastAsia="Times New Roman" w:hAnsi="Times New Roman" w:cs="Times New Roman"/>
          <w:i/>
          <w:sz w:val="24"/>
          <w:szCs w:val="24"/>
        </w:rPr>
        <w:t xml:space="preserve">supra </w:t>
      </w:r>
      <w:r w:rsidRPr="00273D24">
        <w:rPr>
          <w:rFonts w:ascii="Times New Roman" w:eastAsia="Times New Roman" w:hAnsi="Times New Roman" w:cs="Times New Roman"/>
          <w:sz w:val="24"/>
          <w:szCs w:val="24"/>
        </w:rPr>
        <w:t>n. 97.</w:t>
      </w:r>
    </w:p>
  </w:footnote>
  <w:footnote w:id="105">
    <w:p w14:paraId="7AE1B1DE" w14:textId="77777777" w:rsidR="00FF44C7" w:rsidRPr="00273D24" w:rsidRDefault="00FF44C7" w:rsidP="00FF44C7">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Zubulake v. UBS Warburg LLC</w:t>
      </w:r>
      <w:r w:rsidRPr="00273D24">
        <w:rPr>
          <w:rFonts w:ascii="Times New Roman" w:hAnsi="Times New Roman" w:cs="Times New Roman"/>
          <w:sz w:val="24"/>
          <w:szCs w:val="24"/>
        </w:rPr>
        <w:t>, 216 F.R.D. 280, 290 (S.D.N.Y. 2003).</w:t>
      </w:r>
    </w:p>
  </w:footnote>
  <w:footnote w:id="106">
    <w:p w14:paraId="3F71844A" w14:textId="77777777" w:rsidR="00FF44C7" w:rsidRPr="00273D24" w:rsidRDefault="00FF44C7" w:rsidP="00FF44C7">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FDIC v. Marine Midland Realty Credit Corp.</w:t>
      </w:r>
      <w:r w:rsidRPr="00273D24">
        <w:rPr>
          <w:rFonts w:ascii="Times New Roman" w:hAnsi="Times New Roman" w:cs="Times New Roman"/>
          <w:sz w:val="24"/>
          <w:szCs w:val="24"/>
        </w:rPr>
        <w:t>, 138 F.R.D. 479, 479-80 (E.D. Va. 1991).</w:t>
      </w:r>
    </w:p>
  </w:footnote>
  <w:footnote w:id="107">
    <w:p w14:paraId="00ECE16E" w14:textId="77777777" w:rsidR="00FF44C7" w:rsidRPr="00273D24" w:rsidRDefault="00FF44C7" w:rsidP="00FF44C7">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Navajo Nation v. Peabody Holding CO.</w:t>
      </w:r>
      <w:r w:rsidRPr="00273D24">
        <w:rPr>
          <w:rFonts w:ascii="Times New Roman" w:hAnsi="Times New Roman" w:cs="Times New Roman"/>
          <w:sz w:val="24"/>
          <w:szCs w:val="24"/>
        </w:rPr>
        <w:t>, 209 F. Supp. 2d 269, 281 (D.D.C. 2002).</w:t>
      </w:r>
    </w:p>
  </w:footnote>
  <w:footnote w:id="108">
    <w:p w14:paraId="1A90E492" w14:textId="77777777" w:rsidR="00FF44C7" w:rsidRPr="00273D24" w:rsidRDefault="00FF44C7" w:rsidP="00FF44C7">
      <w:pPr>
        <w:spacing w:after="0"/>
        <w:rPr>
          <w:rFonts w:ascii="Times New Roman" w:eastAsia="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eastAsia="Times New Roman" w:hAnsi="Times New Roman" w:cs="Times New Roman"/>
          <w:sz w:val="24"/>
          <w:szCs w:val="24"/>
        </w:rPr>
        <w:t xml:space="preserve"> Jessica Wang, </w:t>
      </w:r>
      <w:r w:rsidRPr="00273D24">
        <w:rPr>
          <w:rFonts w:ascii="Times New Roman" w:eastAsia="Times New Roman" w:hAnsi="Times New Roman" w:cs="Times New Roman"/>
          <w:i/>
          <w:iCs/>
          <w:sz w:val="24"/>
          <w:szCs w:val="24"/>
        </w:rPr>
        <w:t>Nonwaiver Agreements After Federal Rule of Evidence 502: A Glance at Quick-Peek and Clawback Agreements</w:t>
      </w:r>
      <w:r w:rsidRPr="00273D24">
        <w:rPr>
          <w:rFonts w:ascii="Times New Roman" w:eastAsia="Times New Roman" w:hAnsi="Times New Roman" w:cs="Times New Roman"/>
          <w:sz w:val="24"/>
          <w:szCs w:val="24"/>
        </w:rPr>
        <w:t>, 56 UCLA L. Rev. 1835, 1842–43 (2009).</w:t>
      </w:r>
    </w:p>
  </w:footnote>
  <w:footnote w:id="109">
    <w:p w14:paraId="439D83F1"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See</w:t>
      </w:r>
      <w:r w:rsidRPr="00273D24">
        <w:rPr>
          <w:rFonts w:ascii="Times New Roman" w:hAnsi="Times New Roman" w:cs="Times New Roman"/>
          <w:sz w:val="24"/>
          <w:szCs w:val="24"/>
        </w:rPr>
        <w:t xml:space="preserve"> 18 U.S.C. § 2701.</w:t>
      </w:r>
    </w:p>
  </w:footnote>
  <w:footnote w:id="110">
    <w:p w14:paraId="0CDB7DCC"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18 U.S.C. § 2702(a)(1).</w:t>
      </w:r>
    </w:p>
  </w:footnote>
  <w:footnote w:id="111">
    <w:p w14:paraId="5B75B09B"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18 U.S.C. § 2702(a)(3).</w:t>
      </w:r>
    </w:p>
  </w:footnote>
  <w:footnote w:id="112">
    <w:p w14:paraId="4D051EAC"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Orin S. Kerr, </w:t>
      </w:r>
      <w:r w:rsidRPr="00273D24">
        <w:rPr>
          <w:rFonts w:ascii="Times New Roman" w:hAnsi="Times New Roman" w:cs="Times New Roman"/>
          <w:i/>
          <w:sz w:val="24"/>
          <w:szCs w:val="24"/>
        </w:rPr>
        <w:t>A User’s Guide to the Stored Communications Act, and a Legislator’s Guide to Amending It</w:t>
      </w:r>
      <w:r w:rsidRPr="00273D24">
        <w:rPr>
          <w:rFonts w:ascii="Times New Roman" w:hAnsi="Times New Roman" w:cs="Times New Roman"/>
          <w:sz w:val="24"/>
          <w:szCs w:val="24"/>
        </w:rPr>
        <w:t xml:space="preserve">, 72 </w:t>
      </w:r>
      <w:r w:rsidRPr="00273D24">
        <w:rPr>
          <w:rFonts w:ascii="Times New Roman" w:hAnsi="Times New Roman" w:cs="Times New Roman"/>
          <w:smallCaps/>
          <w:sz w:val="24"/>
          <w:szCs w:val="24"/>
        </w:rPr>
        <w:t>Geo. Wash. L. Rev.</w:t>
      </w:r>
      <w:r w:rsidRPr="00273D24">
        <w:rPr>
          <w:rFonts w:ascii="Times New Roman" w:hAnsi="Times New Roman" w:cs="Times New Roman"/>
          <w:sz w:val="24"/>
          <w:szCs w:val="24"/>
        </w:rPr>
        <w:t xml:space="preserve"> 1208, at 1213. </w:t>
      </w:r>
    </w:p>
  </w:footnote>
  <w:footnote w:id="113">
    <w:p w14:paraId="587689B2"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Crispin v. Christian Audigier, Inc.</w:t>
      </w:r>
      <w:r w:rsidRPr="00273D24">
        <w:rPr>
          <w:rFonts w:ascii="Times New Roman" w:hAnsi="Times New Roman" w:cs="Times New Roman"/>
          <w:sz w:val="24"/>
          <w:szCs w:val="24"/>
        </w:rPr>
        <w:t>, 717 F. Supp. 2d 965 (C.D. Cal. 2010).</w:t>
      </w:r>
    </w:p>
  </w:footnote>
  <w:footnote w:id="114">
    <w:p w14:paraId="568D4A01" w14:textId="77777777" w:rsidR="00B668D6" w:rsidRPr="00273D24" w:rsidRDefault="00B668D6" w:rsidP="00861A6A">
      <w:pPr>
        <w:pStyle w:val="FootnoteText"/>
        <w:tabs>
          <w:tab w:val="left" w:pos="939"/>
        </w:tabs>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r w:rsidRPr="00273D24">
        <w:rPr>
          <w:rFonts w:ascii="Times New Roman" w:hAnsi="Times New Roman" w:cs="Times New Roman"/>
          <w:sz w:val="24"/>
          <w:szCs w:val="24"/>
        </w:rPr>
        <w:t xml:space="preserve"> at 968-969.</w:t>
      </w:r>
    </w:p>
  </w:footnote>
  <w:footnote w:id="115">
    <w:p w14:paraId="055CE820"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r w:rsidRPr="00273D24">
        <w:rPr>
          <w:rFonts w:ascii="Times New Roman" w:hAnsi="Times New Roman" w:cs="Times New Roman"/>
          <w:sz w:val="24"/>
          <w:szCs w:val="24"/>
        </w:rPr>
        <w:t xml:space="preserve"> at 969.</w:t>
      </w:r>
    </w:p>
  </w:footnote>
  <w:footnote w:id="116">
    <w:p w14:paraId="5841CC58"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r w:rsidRPr="00273D24">
        <w:rPr>
          <w:rFonts w:ascii="Times New Roman" w:hAnsi="Times New Roman" w:cs="Times New Roman"/>
          <w:sz w:val="24"/>
          <w:szCs w:val="24"/>
        </w:rPr>
        <w:t xml:space="preserve"> at 989-990.</w:t>
      </w:r>
    </w:p>
  </w:footnote>
  <w:footnote w:id="117">
    <w:p w14:paraId="6F493910"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r w:rsidRPr="00273D24">
        <w:rPr>
          <w:rFonts w:ascii="Times New Roman" w:hAnsi="Times New Roman" w:cs="Times New Roman"/>
          <w:sz w:val="24"/>
          <w:szCs w:val="24"/>
        </w:rPr>
        <w:t xml:space="preserve"> at 991.</w:t>
      </w:r>
    </w:p>
  </w:footnote>
  <w:footnote w:id="118">
    <w:p w14:paraId="671F06A2" w14:textId="77777777" w:rsidR="00B668D6" w:rsidRPr="00273D24" w:rsidRDefault="00B668D6" w:rsidP="009306A8">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The SCA provides government agencies with an exclusive subpoena procedure.  </w:t>
      </w:r>
      <w:r w:rsidRPr="00273D24">
        <w:rPr>
          <w:rFonts w:ascii="Times New Roman" w:hAnsi="Times New Roman" w:cs="Times New Roman"/>
          <w:sz w:val="24"/>
          <w:szCs w:val="24"/>
          <w:u w:val="single"/>
        </w:rPr>
        <w:t>See</w:t>
      </w:r>
      <w:r w:rsidRPr="00273D24">
        <w:rPr>
          <w:rFonts w:ascii="Times New Roman" w:hAnsi="Times New Roman" w:cs="Times New Roman"/>
          <w:sz w:val="24"/>
          <w:szCs w:val="24"/>
        </w:rPr>
        <w:t xml:space="preserve"> 18 U.S.C. § 2703(b). </w:t>
      </w:r>
    </w:p>
  </w:footnote>
  <w:footnote w:id="119">
    <w:p w14:paraId="2C4E5D61"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Crispin</w:t>
      </w:r>
      <w:r w:rsidRPr="00273D24">
        <w:rPr>
          <w:rFonts w:ascii="Times New Roman" w:hAnsi="Times New Roman" w:cs="Times New Roman"/>
          <w:sz w:val="24"/>
          <w:szCs w:val="24"/>
        </w:rPr>
        <w:t>, 717 F. Supp. at 988</w:t>
      </w:r>
    </w:p>
  </w:footnote>
  <w:footnote w:id="120">
    <w:p w14:paraId="556114A0"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Konop v. Hawaiian Airlines, Inc.</w:t>
      </w:r>
      <w:r w:rsidRPr="00273D24">
        <w:rPr>
          <w:rFonts w:ascii="Times New Roman" w:hAnsi="Times New Roman" w:cs="Times New Roman"/>
          <w:sz w:val="24"/>
          <w:szCs w:val="24"/>
        </w:rPr>
        <w:t>, 302 F.3d 868, 874 (9th Cir. 2002).</w:t>
      </w:r>
    </w:p>
  </w:footnote>
  <w:footnote w:id="121">
    <w:p w14:paraId="0861156C" w14:textId="2ADABFA9"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i/>
          <w:sz w:val="24"/>
          <w:szCs w:val="24"/>
        </w:rPr>
        <w:t>Accessing Your Facebook Data</w:t>
      </w:r>
      <w:r w:rsidRPr="00273D24">
        <w:rPr>
          <w:rFonts w:ascii="Times New Roman" w:hAnsi="Times New Roman" w:cs="Times New Roman"/>
          <w:sz w:val="24"/>
          <w:szCs w:val="24"/>
        </w:rPr>
        <w:t xml:space="preserve">, https://www.facebook.com/help/405183566203254?helpref=faq_content (last visited </w:t>
      </w:r>
      <w:r w:rsidR="00C63757" w:rsidRPr="00273D24">
        <w:rPr>
          <w:rFonts w:ascii="Times New Roman" w:hAnsi="Times New Roman" w:cs="Times New Roman"/>
          <w:sz w:val="24"/>
          <w:szCs w:val="24"/>
        </w:rPr>
        <w:t>Nov. 27, 2020</w:t>
      </w:r>
      <w:r w:rsidRPr="00273D24">
        <w:rPr>
          <w:rFonts w:ascii="Times New Roman" w:hAnsi="Times New Roman" w:cs="Times New Roman"/>
          <w:sz w:val="24"/>
          <w:szCs w:val="24"/>
        </w:rPr>
        <w:t>).</w:t>
      </w:r>
    </w:p>
  </w:footnote>
  <w:footnote w:id="122">
    <w:p w14:paraId="0F7F74CD"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mallCaps/>
          <w:sz w:val="24"/>
          <w:szCs w:val="24"/>
        </w:rPr>
        <w:t>Model Rules of Prof’l Conduct</w:t>
      </w:r>
      <w:r w:rsidRPr="00273D24">
        <w:rPr>
          <w:rFonts w:ascii="Times New Roman" w:hAnsi="Times New Roman" w:cs="Times New Roman"/>
          <w:sz w:val="24"/>
          <w:szCs w:val="24"/>
        </w:rPr>
        <w:t xml:space="preserve"> 4.2.</w:t>
      </w:r>
    </w:p>
  </w:footnote>
  <w:footnote w:id="123">
    <w:p w14:paraId="27B0A887"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San Diego County Bar Legal Ethics Committee, SDCBA Legal Ethics Opinion 2011-2, May 24, 2011.</w:t>
      </w:r>
    </w:p>
  </w:footnote>
  <w:footnote w:id="124">
    <w:p w14:paraId="3F3E0488"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125">
    <w:p w14:paraId="4940A5CE"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126">
    <w:p w14:paraId="5025A5DA" w14:textId="1BB3BAB9"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i/>
          <w:sz w:val="24"/>
          <w:szCs w:val="24"/>
        </w:rPr>
        <w:t>How do I deactivate my account?</w:t>
      </w:r>
      <w:r w:rsidRPr="00273D24">
        <w:rPr>
          <w:rFonts w:ascii="Times New Roman" w:hAnsi="Times New Roman" w:cs="Times New Roman"/>
          <w:sz w:val="24"/>
          <w:szCs w:val="24"/>
        </w:rPr>
        <w:t>, https://www.facebook.com/help/214376678584711?helpref=search</w:t>
      </w:r>
      <w:r w:rsidR="00BD0047" w:rsidRPr="00273D24">
        <w:rPr>
          <w:rFonts w:ascii="Times New Roman" w:hAnsi="Times New Roman" w:cs="Times New Roman"/>
          <w:sz w:val="24"/>
          <w:szCs w:val="24"/>
        </w:rPr>
        <w:t xml:space="preserve"> (last visited Nov. 27, 2020)</w:t>
      </w:r>
      <w:r w:rsidRPr="00273D24">
        <w:rPr>
          <w:rFonts w:ascii="Times New Roman" w:hAnsi="Times New Roman" w:cs="Times New Roman"/>
          <w:sz w:val="24"/>
          <w:szCs w:val="24"/>
        </w:rPr>
        <w:t>.</w:t>
      </w:r>
    </w:p>
  </w:footnote>
  <w:footnote w:id="127">
    <w:p w14:paraId="4F588A1D" w14:textId="77777777" w:rsidR="00B668D6" w:rsidRPr="00273D24" w:rsidRDefault="00B668D6">
      <w:pPr>
        <w:pStyle w:val="FootnoteText"/>
        <w:rPr>
          <w:rFonts w:ascii="Times New Roman" w:hAnsi="Times New Roman" w:cs="Times New Roman"/>
          <w:sz w:val="24"/>
          <w:szCs w:val="24"/>
          <w:u w:val="single"/>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128">
    <w:p w14:paraId="12B76649" w14:textId="14EFD3E5"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i/>
          <w:sz w:val="24"/>
          <w:szCs w:val="24"/>
        </w:rPr>
        <w:t>How do I permanently delete my account?</w:t>
      </w:r>
      <w:r w:rsidRPr="00273D24">
        <w:rPr>
          <w:rFonts w:ascii="Times New Roman" w:hAnsi="Times New Roman" w:cs="Times New Roman"/>
          <w:sz w:val="24"/>
          <w:szCs w:val="24"/>
        </w:rPr>
        <w:t xml:space="preserve">, </w:t>
      </w:r>
      <w:r w:rsidR="00BD0047" w:rsidRPr="00273D24">
        <w:rPr>
          <w:rFonts w:ascii="Times New Roman" w:hAnsi="Times New Roman" w:cs="Times New Roman"/>
          <w:sz w:val="24"/>
          <w:szCs w:val="24"/>
        </w:rPr>
        <w:t>https://www.facebook.com/help/224562897555674?helpref=search (last visited Nov. 27, 2020).</w:t>
      </w:r>
    </w:p>
  </w:footnote>
  <w:footnote w:id="129">
    <w:p w14:paraId="20DBB9A4" w14:textId="77777777" w:rsidR="00B668D6" w:rsidRPr="00273D24" w:rsidRDefault="00B668D6">
      <w:pPr>
        <w:pStyle w:val="FootnoteText"/>
        <w:rPr>
          <w:rFonts w:ascii="Times New Roman" w:hAnsi="Times New Roman" w:cs="Times New Roman"/>
          <w:b/>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 w:id="130">
    <w:p w14:paraId="286D881E" w14:textId="6FBE7851"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i/>
          <w:sz w:val="24"/>
          <w:szCs w:val="24"/>
        </w:rPr>
        <w:t>Accessing Your Facebook Data</w:t>
      </w:r>
      <w:r w:rsidRPr="00273D24">
        <w:rPr>
          <w:rFonts w:ascii="Times New Roman" w:hAnsi="Times New Roman" w:cs="Times New Roman"/>
          <w:sz w:val="24"/>
          <w:szCs w:val="24"/>
        </w:rPr>
        <w:t xml:space="preserve">, https://www.facebook.com/help/405183566203254?helpref=faq_content (last visited </w:t>
      </w:r>
      <w:r w:rsidR="00C63757" w:rsidRPr="00273D24">
        <w:rPr>
          <w:rFonts w:ascii="Times New Roman" w:hAnsi="Times New Roman" w:cs="Times New Roman"/>
          <w:sz w:val="24"/>
          <w:szCs w:val="24"/>
        </w:rPr>
        <w:t>Nov. 27, 2020</w:t>
      </w:r>
      <w:r w:rsidRPr="00273D24">
        <w:rPr>
          <w:rFonts w:ascii="Times New Roman" w:hAnsi="Times New Roman" w:cs="Times New Roman"/>
          <w:sz w:val="24"/>
          <w:szCs w:val="24"/>
        </w:rPr>
        <w:t>).</w:t>
      </w:r>
    </w:p>
  </w:footnote>
  <w:footnote w:id="131">
    <w:p w14:paraId="0D0BC1F1" w14:textId="244BB3A0"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i/>
          <w:sz w:val="24"/>
          <w:szCs w:val="24"/>
        </w:rPr>
        <w:t>Facebook Help Community</w:t>
      </w:r>
      <w:r w:rsidRPr="00273D24">
        <w:rPr>
          <w:rFonts w:ascii="Times New Roman" w:hAnsi="Times New Roman" w:cs="Times New Roman"/>
          <w:sz w:val="24"/>
          <w:szCs w:val="24"/>
        </w:rPr>
        <w:t xml:space="preserve">, https://www.facebook.com/help/community/question/?id=10154310920251632 (last visited </w:t>
      </w:r>
      <w:r w:rsidR="00C63757" w:rsidRPr="00273D24">
        <w:rPr>
          <w:rFonts w:ascii="Times New Roman" w:hAnsi="Times New Roman" w:cs="Times New Roman"/>
          <w:sz w:val="24"/>
          <w:szCs w:val="24"/>
        </w:rPr>
        <w:t>Nov. 27, 2020</w:t>
      </w:r>
      <w:r w:rsidRPr="00273D24">
        <w:rPr>
          <w:rFonts w:ascii="Times New Roman" w:hAnsi="Times New Roman" w:cs="Times New Roman"/>
          <w:sz w:val="24"/>
          <w:szCs w:val="24"/>
        </w:rPr>
        <w:t>).</w:t>
      </w:r>
    </w:p>
  </w:footnote>
  <w:footnote w:id="132">
    <w:p w14:paraId="171BE244" w14:textId="77777777" w:rsidR="00B668D6" w:rsidRPr="00273D24" w:rsidRDefault="00B668D6">
      <w:pPr>
        <w:pStyle w:val="FootnoteText"/>
        <w:rPr>
          <w:rFonts w:ascii="Times New Roman" w:hAnsi="Times New Roman" w:cs="Times New Roman"/>
          <w:sz w:val="24"/>
          <w:szCs w:val="24"/>
        </w:rPr>
      </w:pPr>
      <w:r w:rsidRPr="00273D24">
        <w:rPr>
          <w:rStyle w:val="FootnoteReference"/>
          <w:rFonts w:ascii="Times New Roman" w:hAnsi="Times New Roman" w:cs="Times New Roman"/>
          <w:sz w:val="24"/>
          <w:szCs w:val="24"/>
        </w:rPr>
        <w:footnoteRef/>
      </w:r>
      <w:r w:rsidRPr="00273D24">
        <w:rPr>
          <w:rFonts w:ascii="Times New Roman" w:hAnsi="Times New Roman" w:cs="Times New Roman"/>
          <w:sz w:val="24"/>
          <w:szCs w:val="24"/>
        </w:rPr>
        <w:t xml:space="preserve"> </w:t>
      </w:r>
      <w:r w:rsidRPr="00273D24">
        <w:rPr>
          <w:rFonts w:ascii="Times New Roman" w:hAnsi="Times New Roman" w:cs="Times New Roman"/>
          <w:sz w:val="24"/>
          <w:szCs w:val="24"/>
          <w:u w:val="single"/>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6EB5C" w14:textId="77777777" w:rsidR="00B668D6" w:rsidRDefault="00B66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3875C" w14:textId="77777777" w:rsidR="00B668D6" w:rsidRDefault="00B66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839E" w14:textId="77777777" w:rsidR="00B668D6" w:rsidRDefault="00B66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B5BAC"/>
    <w:multiLevelType w:val="hybridMultilevel"/>
    <w:tmpl w:val="75247A16"/>
    <w:lvl w:ilvl="0" w:tplc="AD8C530C">
      <w:start w:val="1"/>
      <w:numFmt w:val="upperLetter"/>
      <w:lvlText w:val="%1."/>
      <w:lvlJc w:val="left"/>
      <w:pPr>
        <w:ind w:left="72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750E7C28"/>
    <w:multiLevelType w:val="hybridMultilevel"/>
    <w:tmpl w:val="B4CC7B4C"/>
    <w:lvl w:ilvl="0" w:tplc="AE54553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98295C"/>
    <w:multiLevelType w:val="hybridMultilevel"/>
    <w:tmpl w:val="C18C962A"/>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FCA"/>
    <w:rsid w:val="00003657"/>
    <w:rsid w:val="0000429C"/>
    <w:rsid w:val="00007520"/>
    <w:rsid w:val="00011D6A"/>
    <w:rsid w:val="00012B86"/>
    <w:rsid w:val="00013AE8"/>
    <w:rsid w:val="000149CA"/>
    <w:rsid w:val="000173D0"/>
    <w:rsid w:val="00022632"/>
    <w:rsid w:val="0002551E"/>
    <w:rsid w:val="00025992"/>
    <w:rsid w:val="00034702"/>
    <w:rsid w:val="0003586B"/>
    <w:rsid w:val="0005260A"/>
    <w:rsid w:val="0005534A"/>
    <w:rsid w:val="00056BB6"/>
    <w:rsid w:val="000614F4"/>
    <w:rsid w:val="00061AD9"/>
    <w:rsid w:val="00063AFD"/>
    <w:rsid w:val="0006422D"/>
    <w:rsid w:val="00065208"/>
    <w:rsid w:val="00065909"/>
    <w:rsid w:val="000678D2"/>
    <w:rsid w:val="00067A95"/>
    <w:rsid w:val="00070B3A"/>
    <w:rsid w:val="00075EAE"/>
    <w:rsid w:val="0008108F"/>
    <w:rsid w:val="00091B1C"/>
    <w:rsid w:val="00093A59"/>
    <w:rsid w:val="000948FC"/>
    <w:rsid w:val="00095B89"/>
    <w:rsid w:val="000973A9"/>
    <w:rsid w:val="000A04EF"/>
    <w:rsid w:val="000A1243"/>
    <w:rsid w:val="000A2638"/>
    <w:rsid w:val="000A5726"/>
    <w:rsid w:val="000B3657"/>
    <w:rsid w:val="000B76C8"/>
    <w:rsid w:val="000C4C05"/>
    <w:rsid w:val="000C5FC0"/>
    <w:rsid w:val="000C65C3"/>
    <w:rsid w:val="000D00DB"/>
    <w:rsid w:val="000D49C0"/>
    <w:rsid w:val="000E41D6"/>
    <w:rsid w:val="000F1676"/>
    <w:rsid w:val="000F7C7D"/>
    <w:rsid w:val="0010638E"/>
    <w:rsid w:val="001158EA"/>
    <w:rsid w:val="00120AA8"/>
    <w:rsid w:val="001251B4"/>
    <w:rsid w:val="001326EC"/>
    <w:rsid w:val="00136B80"/>
    <w:rsid w:val="00147C28"/>
    <w:rsid w:val="00154628"/>
    <w:rsid w:val="00160E52"/>
    <w:rsid w:val="001610D2"/>
    <w:rsid w:val="001611A6"/>
    <w:rsid w:val="00166645"/>
    <w:rsid w:val="001709EC"/>
    <w:rsid w:val="0017522F"/>
    <w:rsid w:val="00175D6D"/>
    <w:rsid w:val="001763A8"/>
    <w:rsid w:val="001806C4"/>
    <w:rsid w:val="0018514F"/>
    <w:rsid w:val="0019460F"/>
    <w:rsid w:val="00195F3D"/>
    <w:rsid w:val="001977B0"/>
    <w:rsid w:val="001A08D7"/>
    <w:rsid w:val="001B19E5"/>
    <w:rsid w:val="001B22F3"/>
    <w:rsid w:val="001B6C82"/>
    <w:rsid w:val="001B76FE"/>
    <w:rsid w:val="001C1CD8"/>
    <w:rsid w:val="001C5198"/>
    <w:rsid w:val="001C65E8"/>
    <w:rsid w:val="001D4E46"/>
    <w:rsid w:val="001D7723"/>
    <w:rsid w:val="001F0F48"/>
    <w:rsid w:val="001F2DEA"/>
    <w:rsid w:val="001F5219"/>
    <w:rsid w:val="001F6075"/>
    <w:rsid w:val="00200203"/>
    <w:rsid w:val="0020089B"/>
    <w:rsid w:val="002024E0"/>
    <w:rsid w:val="00204423"/>
    <w:rsid w:val="00206D0B"/>
    <w:rsid w:val="00213CC9"/>
    <w:rsid w:val="00221A59"/>
    <w:rsid w:val="00221CB6"/>
    <w:rsid w:val="0022270A"/>
    <w:rsid w:val="002319BD"/>
    <w:rsid w:val="002500DD"/>
    <w:rsid w:val="002502E8"/>
    <w:rsid w:val="0025341A"/>
    <w:rsid w:val="002541F6"/>
    <w:rsid w:val="00262874"/>
    <w:rsid w:val="00266F13"/>
    <w:rsid w:val="00272106"/>
    <w:rsid w:val="00273D24"/>
    <w:rsid w:val="0028039C"/>
    <w:rsid w:val="00284B2D"/>
    <w:rsid w:val="002918CE"/>
    <w:rsid w:val="002921A0"/>
    <w:rsid w:val="0029639D"/>
    <w:rsid w:val="00297FAA"/>
    <w:rsid w:val="002A0AC3"/>
    <w:rsid w:val="002A26BD"/>
    <w:rsid w:val="002A294D"/>
    <w:rsid w:val="002A3DC6"/>
    <w:rsid w:val="002B0497"/>
    <w:rsid w:val="002B1181"/>
    <w:rsid w:val="002B48E1"/>
    <w:rsid w:val="002B4BC7"/>
    <w:rsid w:val="002B5CB8"/>
    <w:rsid w:val="002C2A10"/>
    <w:rsid w:val="002C6CF7"/>
    <w:rsid w:val="002D0591"/>
    <w:rsid w:val="002D19FE"/>
    <w:rsid w:val="002D3986"/>
    <w:rsid w:val="002D5D87"/>
    <w:rsid w:val="002E1A45"/>
    <w:rsid w:val="002E27FE"/>
    <w:rsid w:val="002E29CA"/>
    <w:rsid w:val="002E2D55"/>
    <w:rsid w:val="002E3391"/>
    <w:rsid w:val="002F16FA"/>
    <w:rsid w:val="002F36FE"/>
    <w:rsid w:val="002F47C1"/>
    <w:rsid w:val="00303D3A"/>
    <w:rsid w:val="0030459C"/>
    <w:rsid w:val="003047A9"/>
    <w:rsid w:val="0031376E"/>
    <w:rsid w:val="00325D87"/>
    <w:rsid w:val="003305DF"/>
    <w:rsid w:val="0033194B"/>
    <w:rsid w:val="003319DD"/>
    <w:rsid w:val="0033332F"/>
    <w:rsid w:val="00334615"/>
    <w:rsid w:val="0033462F"/>
    <w:rsid w:val="00335169"/>
    <w:rsid w:val="0034171D"/>
    <w:rsid w:val="00342723"/>
    <w:rsid w:val="0034727E"/>
    <w:rsid w:val="003538D5"/>
    <w:rsid w:val="0035628C"/>
    <w:rsid w:val="0035649B"/>
    <w:rsid w:val="00357BB3"/>
    <w:rsid w:val="0036293C"/>
    <w:rsid w:val="00374CF1"/>
    <w:rsid w:val="00381CEB"/>
    <w:rsid w:val="0038442E"/>
    <w:rsid w:val="0039365D"/>
    <w:rsid w:val="00393D31"/>
    <w:rsid w:val="00395069"/>
    <w:rsid w:val="00395DF4"/>
    <w:rsid w:val="003A29D0"/>
    <w:rsid w:val="003A4282"/>
    <w:rsid w:val="003B2CE5"/>
    <w:rsid w:val="003D7BA9"/>
    <w:rsid w:val="003E3769"/>
    <w:rsid w:val="003E65F1"/>
    <w:rsid w:val="003E76E6"/>
    <w:rsid w:val="003F19B4"/>
    <w:rsid w:val="003F2419"/>
    <w:rsid w:val="003F2AD8"/>
    <w:rsid w:val="003F30DB"/>
    <w:rsid w:val="003F7E64"/>
    <w:rsid w:val="00401A47"/>
    <w:rsid w:val="00416083"/>
    <w:rsid w:val="00421FB3"/>
    <w:rsid w:val="004249CE"/>
    <w:rsid w:val="00425634"/>
    <w:rsid w:val="00426B6B"/>
    <w:rsid w:val="00433D43"/>
    <w:rsid w:val="00434779"/>
    <w:rsid w:val="00436B52"/>
    <w:rsid w:val="00441EAD"/>
    <w:rsid w:val="00442715"/>
    <w:rsid w:val="004450DC"/>
    <w:rsid w:val="00452A06"/>
    <w:rsid w:val="004612A0"/>
    <w:rsid w:val="004708E8"/>
    <w:rsid w:val="004726E8"/>
    <w:rsid w:val="00477DFC"/>
    <w:rsid w:val="00483408"/>
    <w:rsid w:val="004836B4"/>
    <w:rsid w:val="00485C17"/>
    <w:rsid w:val="00492A7F"/>
    <w:rsid w:val="004978E2"/>
    <w:rsid w:val="00497D61"/>
    <w:rsid w:val="004A3D14"/>
    <w:rsid w:val="004A5E95"/>
    <w:rsid w:val="004A6213"/>
    <w:rsid w:val="004B410E"/>
    <w:rsid w:val="004B62C3"/>
    <w:rsid w:val="004D23D8"/>
    <w:rsid w:val="004D5DFB"/>
    <w:rsid w:val="004D61F0"/>
    <w:rsid w:val="004D6FCF"/>
    <w:rsid w:val="004E2CF7"/>
    <w:rsid w:val="004F3694"/>
    <w:rsid w:val="004F5F8B"/>
    <w:rsid w:val="004F7A29"/>
    <w:rsid w:val="00501D4D"/>
    <w:rsid w:val="00503EF4"/>
    <w:rsid w:val="00506AF3"/>
    <w:rsid w:val="00506DC6"/>
    <w:rsid w:val="00513003"/>
    <w:rsid w:val="005136DA"/>
    <w:rsid w:val="00522546"/>
    <w:rsid w:val="005321CB"/>
    <w:rsid w:val="00535886"/>
    <w:rsid w:val="00541122"/>
    <w:rsid w:val="005420AF"/>
    <w:rsid w:val="0055119E"/>
    <w:rsid w:val="00554571"/>
    <w:rsid w:val="005553B1"/>
    <w:rsid w:val="005641ED"/>
    <w:rsid w:val="005652C5"/>
    <w:rsid w:val="0056650F"/>
    <w:rsid w:val="005668B8"/>
    <w:rsid w:val="00567CB1"/>
    <w:rsid w:val="0057202F"/>
    <w:rsid w:val="005732B9"/>
    <w:rsid w:val="005837B5"/>
    <w:rsid w:val="00583DB3"/>
    <w:rsid w:val="00587984"/>
    <w:rsid w:val="00591447"/>
    <w:rsid w:val="00592912"/>
    <w:rsid w:val="00594D30"/>
    <w:rsid w:val="005950D5"/>
    <w:rsid w:val="005A04B4"/>
    <w:rsid w:val="005A2145"/>
    <w:rsid w:val="005B1360"/>
    <w:rsid w:val="005B156B"/>
    <w:rsid w:val="005B22F5"/>
    <w:rsid w:val="005B4135"/>
    <w:rsid w:val="005B585F"/>
    <w:rsid w:val="005C152F"/>
    <w:rsid w:val="005C1C7C"/>
    <w:rsid w:val="005C5E97"/>
    <w:rsid w:val="005C6A87"/>
    <w:rsid w:val="005C6DE5"/>
    <w:rsid w:val="005D0741"/>
    <w:rsid w:val="005D2714"/>
    <w:rsid w:val="005D42E5"/>
    <w:rsid w:val="005E346C"/>
    <w:rsid w:val="005F0785"/>
    <w:rsid w:val="005F3790"/>
    <w:rsid w:val="005F5BA2"/>
    <w:rsid w:val="00602110"/>
    <w:rsid w:val="0061057F"/>
    <w:rsid w:val="00610DAB"/>
    <w:rsid w:val="0061427B"/>
    <w:rsid w:val="00615E8D"/>
    <w:rsid w:val="006171C1"/>
    <w:rsid w:val="0062128B"/>
    <w:rsid w:val="00625088"/>
    <w:rsid w:val="00633279"/>
    <w:rsid w:val="00637EC9"/>
    <w:rsid w:val="0064027D"/>
    <w:rsid w:val="00652A61"/>
    <w:rsid w:val="00656F42"/>
    <w:rsid w:val="0066214B"/>
    <w:rsid w:val="006629B7"/>
    <w:rsid w:val="00666F45"/>
    <w:rsid w:val="00672E60"/>
    <w:rsid w:val="00673707"/>
    <w:rsid w:val="00674628"/>
    <w:rsid w:val="0067768B"/>
    <w:rsid w:val="006839FF"/>
    <w:rsid w:val="00683CB7"/>
    <w:rsid w:val="00687FD4"/>
    <w:rsid w:val="0069001F"/>
    <w:rsid w:val="0069551A"/>
    <w:rsid w:val="00696612"/>
    <w:rsid w:val="006A4C4F"/>
    <w:rsid w:val="006A5923"/>
    <w:rsid w:val="006B09CF"/>
    <w:rsid w:val="006B2FCB"/>
    <w:rsid w:val="006B3A43"/>
    <w:rsid w:val="006B4482"/>
    <w:rsid w:val="006B7645"/>
    <w:rsid w:val="006C372F"/>
    <w:rsid w:val="006C4A9B"/>
    <w:rsid w:val="006C4D88"/>
    <w:rsid w:val="006C5867"/>
    <w:rsid w:val="006D0EC0"/>
    <w:rsid w:val="006D4326"/>
    <w:rsid w:val="006D75EC"/>
    <w:rsid w:val="006E3150"/>
    <w:rsid w:val="006E4DF1"/>
    <w:rsid w:val="006F2A46"/>
    <w:rsid w:val="006F7027"/>
    <w:rsid w:val="007015BB"/>
    <w:rsid w:val="007055BF"/>
    <w:rsid w:val="00717124"/>
    <w:rsid w:val="00722847"/>
    <w:rsid w:val="00724B45"/>
    <w:rsid w:val="007375A5"/>
    <w:rsid w:val="00740720"/>
    <w:rsid w:val="007419DD"/>
    <w:rsid w:val="007457DE"/>
    <w:rsid w:val="007514EE"/>
    <w:rsid w:val="007525A3"/>
    <w:rsid w:val="007600D8"/>
    <w:rsid w:val="007608E6"/>
    <w:rsid w:val="00762CC2"/>
    <w:rsid w:val="00767BF9"/>
    <w:rsid w:val="007734D4"/>
    <w:rsid w:val="00775317"/>
    <w:rsid w:val="007773D7"/>
    <w:rsid w:val="00780344"/>
    <w:rsid w:val="00783386"/>
    <w:rsid w:val="00783EE5"/>
    <w:rsid w:val="00784087"/>
    <w:rsid w:val="007868C3"/>
    <w:rsid w:val="00787DD2"/>
    <w:rsid w:val="00793E84"/>
    <w:rsid w:val="007940F6"/>
    <w:rsid w:val="007951EB"/>
    <w:rsid w:val="007A03C9"/>
    <w:rsid w:val="007A06F0"/>
    <w:rsid w:val="007A0FF7"/>
    <w:rsid w:val="007A17D4"/>
    <w:rsid w:val="007B4016"/>
    <w:rsid w:val="007B5D92"/>
    <w:rsid w:val="007B6307"/>
    <w:rsid w:val="007C0F64"/>
    <w:rsid w:val="007D1769"/>
    <w:rsid w:val="007D3704"/>
    <w:rsid w:val="007F0748"/>
    <w:rsid w:val="007F4139"/>
    <w:rsid w:val="007F4CB5"/>
    <w:rsid w:val="00806738"/>
    <w:rsid w:val="00807ABD"/>
    <w:rsid w:val="00807E5A"/>
    <w:rsid w:val="00812050"/>
    <w:rsid w:val="00813F67"/>
    <w:rsid w:val="008161DE"/>
    <w:rsid w:val="0082293D"/>
    <w:rsid w:val="008240E1"/>
    <w:rsid w:val="008243DA"/>
    <w:rsid w:val="0082471F"/>
    <w:rsid w:val="0083456C"/>
    <w:rsid w:val="00835B65"/>
    <w:rsid w:val="00840179"/>
    <w:rsid w:val="00840CE8"/>
    <w:rsid w:val="008447EF"/>
    <w:rsid w:val="00845E95"/>
    <w:rsid w:val="00851300"/>
    <w:rsid w:val="00854457"/>
    <w:rsid w:val="00855C3C"/>
    <w:rsid w:val="00860519"/>
    <w:rsid w:val="00860D99"/>
    <w:rsid w:val="00861A6A"/>
    <w:rsid w:val="00864799"/>
    <w:rsid w:val="008648CD"/>
    <w:rsid w:val="008751CB"/>
    <w:rsid w:val="0088022F"/>
    <w:rsid w:val="00890968"/>
    <w:rsid w:val="00892C33"/>
    <w:rsid w:val="00894CB5"/>
    <w:rsid w:val="00895E86"/>
    <w:rsid w:val="0089745C"/>
    <w:rsid w:val="00897F8B"/>
    <w:rsid w:val="008A2050"/>
    <w:rsid w:val="008A317C"/>
    <w:rsid w:val="008B1598"/>
    <w:rsid w:val="008B24A0"/>
    <w:rsid w:val="008B46F3"/>
    <w:rsid w:val="008C0E50"/>
    <w:rsid w:val="008C4C40"/>
    <w:rsid w:val="008C5C9A"/>
    <w:rsid w:val="008C7C6A"/>
    <w:rsid w:val="008D1680"/>
    <w:rsid w:val="008D3D67"/>
    <w:rsid w:val="008D6740"/>
    <w:rsid w:val="008E0AF4"/>
    <w:rsid w:val="008E7D62"/>
    <w:rsid w:val="008E7DA5"/>
    <w:rsid w:val="008E7DDA"/>
    <w:rsid w:val="008F1393"/>
    <w:rsid w:val="008F1957"/>
    <w:rsid w:val="009042F7"/>
    <w:rsid w:val="00904711"/>
    <w:rsid w:val="00904FAC"/>
    <w:rsid w:val="00905948"/>
    <w:rsid w:val="00905A69"/>
    <w:rsid w:val="009079E7"/>
    <w:rsid w:val="00907BCC"/>
    <w:rsid w:val="00913402"/>
    <w:rsid w:val="00916289"/>
    <w:rsid w:val="00920051"/>
    <w:rsid w:val="00922B6E"/>
    <w:rsid w:val="00925925"/>
    <w:rsid w:val="009306A8"/>
    <w:rsid w:val="009311E9"/>
    <w:rsid w:val="00931A08"/>
    <w:rsid w:val="009322A0"/>
    <w:rsid w:val="009400BA"/>
    <w:rsid w:val="00940B00"/>
    <w:rsid w:val="009416A7"/>
    <w:rsid w:val="00947E42"/>
    <w:rsid w:val="00962A87"/>
    <w:rsid w:val="00963650"/>
    <w:rsid w:val="00966818"/>
    <w:rsid w:val="00966CA4"/>
    <w:rsid w:val="009705D6"/>
    <w:rsid w:val="00971DA4"/>
    <w:rsid w:val="009735EB"/>
    <w:rsid w:val="00975123"/>
    <w:rsid w:val="00981549"/>
    <w:rsid w:val="009817EC"/>
    <w:rsid w:val="009830A1"/>
    <w:rsid w:val="00985183"/>
    <w:rsid w:val="00992C41"/>
    <w:rsid w:val="00993F69"/>
    <w:rsid w:val="00996DDE"/>
    <w:rsid w:val="009971AF"/>
    <w:rsid w:val="009A018E"/>
    <w:rsid w:val="009B1A7F"/>
    <w:rsid w:val="009B21E8"/>
    <w:rsid w:val="009B230E"/>
    <w:rsid w:val="009B6598"/>
    <w:rsid w:val="009C639E"/>
    <w:rsid w:val="009D1641"/>
    <w:rsid w:val="009D3160"/>
    <w:rsid w:val="009D728B"/>
    <w:rsid w:val="009E50FC"/>
    <w:rsid w:val="009E5CBE"/>
    <w:rsid w:val="009E67E2"/>
    <w:rsid w:val="009F007E"/>
    <w:rsid w:val="009F0658"/>
    <w:rsid w:val="009F0A91"/>
    <w:rsid w:val="009F3258"/>
    <w:rsid w:val="009F5762"/>
    <w:rsid w:val="009F7FE0"/>
    <w:rsid w:val="00A019F0"/>
    <w:rsid w:val="00A02C26"/>
    <w:rsid w:val="00A11BDE"/>
    <w:rsid w:val="00A162FA"/>
    <w:rsid w:val="00A16C48"/>
    <w:rsid w:val="00A16E13"/>
    <w:rsid w:val="00A232D4"/>
    <w:rsid w:val="00A24102"/>
    <w:rsid w:val="00A2580A"/>
    <w:rsid w:val="00A3764B"/>
    <w:rsid w:val="00A37659"/>
    <w:rsid w:val="00A50509"/>
    <w:rsid w:val="00A50565"/>
    <w:rsid w:val="00A509D7"/>
    <w:rsid w:val="00A5365D"/>
    <w:rsid w:val="00A536AB"/>
    <w:rsid w:val="00A55ED8"/>
    <w:rsid w:val="00A616AA"/>
    <w:rsid w:val="00A6193B"/>
    <w:rsid w:val="00A631E7"/>
    <w:rsid w:val="00A67AC7"/>
    <w:rsid w:val="00A71591"/>
    <w:rsid w:val="00A71C2D"/>
    <w:rsid w:val="00A72162"/>
    <w:rsid w:val="00A76C99"/>
    <w:rsid w:val="00A81010"/>
    <w:rsid w:val="00A901B8"/>
    <w:rsid w:val="00A92D97"/>
    <w:rsid w:val="00A97D9E"/>
    <w:rsid w:val="00AA01D9"/>
    <w:rsid w:val="00AB4AA9"/>
    <w:rsid w:val="00AB4D62"/>
    <w:rsid w:val="00AB75F9"/>
    <w:rsid w:val="00AD042A"/>
    <w:rsid w:val="00AD14B7"/>
    <w:rsid w:val="00AD2C81"/>
    <w:rsid w:val="00AD4BDB"/>
    <w:rsid w:val="00AD708A"/>
    <w:rsid w:val="00AE380D"/>
    <w:rsid w:val="00AE66DC"/>
    <w:rsid w:val="00AE7E0D"/>
    <w:rsid w:val="00AF0ED2"/>
    <w:rsid w:val="00B03877"/>
    <w:rsid w:val="00B129CC"/>
    <w:rsid w:val="00B13117"/>
    <w:rsid w:val="00B22442"/>
    <w:rsid w:val="00B22899"/>
    <w:rsid w:val="00B32FCA"/>
    <w:rsid w:val="00B3368B"/>
    <w:rsid w:val="00B4141F"/>
    <w:rsid w:val="00B4728F"/>
    <w:rsid w:val="00B50133"/>
    <w:rsid w:val="00B53F0A"/>
    <w:rsid w:val="00B55B8E"/>
    <w:rsid w:val="00B57A05"/>
    <w:rsid w:val="00B66481"/>
    <w:rsid w:val="00B668D6"/>
    <w:rsid w:val="00B73C08"/>
    <w:rsid w:val="00B75098"/>
    <w:rsid w:val="00B8048B"/>
    <w:rsid w:val="00B8310C"/>
    <w:rsid w:val="00B8604F"/>
    <w:rsid w:val="00B94A8A"/>
    <w:rsid w:val="00BA5E81"/>
    <w:rsid w:val="00BA7190"/>
    <w:rsid w:val="00BA7FED"/>
    <w:rsid w:val="00BB0112"/>
    <w:rsid w:val="00BB6382"/>
    <w:rsid w:val="00BC0752"/>
    <w:rsid w:val="00BC4263"/>
    <w:rsid w:val="00BC4BAC"/>
    <w:rsid w:val="00BC55DC"/>
    <w:rsid w:val="00BC7D63"/>
    <w:rsid w:val="00BD0047"/>
    <w:rsid w:val="00BD06F1"/>
    <w:rsid w:val="00BD3239"/>
    <w:rsid w:val="00BD4885"/>
    <w:rsid w:val="00BD73EB"/>
    <w:rsid w:val="00BE0A91"/>
    <w:rsid w:val="00BE254E"/>
    <w:rsid w:val="00BE58F5"/>
    <w:rsid w:val="00C03D30"/>
    <w:rsid w:val="00C17873"/>
    <w:rsid w:val="00C24099"/>
    <w:rsid w:val="00C24615"/>
    <w:rsid w:val="00C2791B"/>
    <w:rsid w:val="00C27CC3"/>
    <w:rsid w:val="00C32DBE"/>
    <w:rsid w:val="00C36536"/>
    <w:rsid w:val="00C366F2"/>
    <w:rsid w:val="00C37FFE"/>
    <w:rsid w:val="00C43ED9"/>
    <w:rsid w:val="00C4429F"/>
    <w:rsid w:val="00C47E6A"/>
    <w:rsid w:val="00C5046A"/>
    <w:rsid w:val="00C521C4"/>
    <w:rsid w:val="00C63757"/>
    <w:rsid w:val="00C73BF6"/>
    <w:rsid w:val="00C75166"/>
    <w:rsid w:val="00C774C4"/>
    <w:rsid w:val="00C8098B"/>
    <w:rsid w:val="00C81D1B"/>
    <w:rsid w:val="00C90068"/>
    <w:rsid w:val="00C918F7"/>
    <w:rsid w:val="00C91BB4"/>
    <w:rsid w:val="00C92ECB"/>
    <w:rsid w:val="00C9479A"/>
    <w:rsid w:val="00C95A6E"/>
    <w:rsid w:val="00C95CEF"/>
    <w:rsid w:val="00C96F04"/>
    <w:rsid w:val="00CB10FF"/>
    <w:rsid w:val="00CB43FA"/>
    <w:rsid w:val="00CB4902"/>
    <w:rsid w:val="00CB6A0D"/>
    <w:rsid w:val="00CC0172"/>
    <w:rsid w:val="00CC3524"/>
    <w:rsid w:val="00CC3F0F"/>
    <w:rsid w:val="00CC5884"/>
    <w:rsid w:val="00CC5EB3"/>
    <w:rsid w:val="00CC7A0C"/>
    <w:rsid w:val="00CD5A98"/>
    <w:rsid w:val="00CD6406"/>
    <w:rsid w:val="00CE2092"/>
    <w:rsid w:val="00CE3989"/>
    <w:rsid w:val="00CF0ADD"/>
    <w:rsid w:val="00CF109E"/>
    <w:rsid w:val="00CF1961"/>
    <w:rsid w:val="00CF4BD9"/>
    <w:rsid w:val="00D02213"/>
    <w:rsid w:val="00D02649"/>
    <w:rsid w:val="00D14898"/>
    <w:rsid w:val="00D1761D"/>
    <w:rsid w:val="00D20618"/>
    <w:rsid w:val="00D2316A"/>
    <w:rsid w:val="00D24E56"/>
    <w:rsid w:val="00D27509"/>
    <w:rsid w:val="00D2756F"/>
    <w:rsid w:val="00D309E0"/>
    <w:rsid w:val="00D34153"/>
    <w:rsid w:val="00D341ED"/>
    <w:rsid w:val="00D41A59"/>
    <w:rsid w:val="00D4268F"/>
    <w:rsid w:val="00D669C4"/>
    <w:rsid w:val="00D706B2"/>
    <w:rsid w:val="00D751B7"/>
    <w:rsid w:val="00D82905"/>
    <w:rsid w:val="00D83721"/>
    <w:rsid w:val="00D85A16"/>
    <w:rsid w:val="00D9154C"/>
    <w:rsid w:val="00D960E2"/>
    <w:rsid w:val="00DA0FB0"/>
    <w:rsid w:val="00DA1551"/>
    <w:rsid w:val="00DA245B"/>
    <w:rsid w:val="00DB1386"/>
    <w:rsid w:val="00DB7A5F"/>
    <w:rsid w:val="00DC3F67"/>
    <w:rsid w:val="00DD07E1"/>
    <w:rsid w:val="00DD31D8"/>
    <w:rsid w:val="00DD6702"/>
    <w:rsid w:val="00DD6926"/>
    <w:rsid w:val="00DD6FAC"/>
    <w:rsid w:val="00DE2C35"/>
    <w:rsid w:val="00E07D1C"/>
    <w:rsid w:val="00E12BA3"/>
    <w:rsid w:val="00E139A1"/>
    <w:rsid w:val="00E22648"/>
    <w:rsid w:val="00E22EE7"/>
    <w:rsid w:val="00E260BA"/>
    <w:rsid w:val="00E264FE"/>
    <w:rsid w:val="00E319A5"/>
    <w:rsid w:val="00E323E4"/>
    <w:rsid w:val="00E352D0"/>
    <w:rsid w:val="00E36EF2"/>
    <w:rsid w:val="00E40721"/>
    <w:rsid w:val="00E41F71"/>
    <w:rsid w:val="00E47C1A"/>
    <w:rsid w:val="00E515B2"/>
    <w:rsid w:val="00E5199E"/>
    <w:rsid w:val="00E53616"/>
    <w:rsid w:val="00E56B43"/>
    <w:rsid w:val="00E61728"/>
    <w:rsid w:val="00E622D5"/>
    <w:rsid w:val="00E66A93"/>
    <w:rsid w:val="00E71E35"/>
    <w:rsid w:val="00E7572B"/>
    <w:rsid w:val="00E75C5B"/>
    <w:rsid w:val="00E76A58"/>
    <w:rsid w:val="00E8032D"/>
    <w:rsid w:val="00E81930"/>
    <w:rsid w:val="00E97E10"/>
    <w:rsid w:val="00EA0E5A"/>
    <w:rsid w:val="00EA38D2"/>
    <w:rsid w:val="00EB345A"/>
    <w:rsid w:val="00EC07E1"/>
    <w:rsid w:val="00EC4356"/>
    <w:rsid w:val="00EC6B97"/>
    <w:rsid w:val="00EC7693"/>
    <w:rsid w:val="00ED6EC6"/>
    <w:rsid w:val="00ED7A25"/>
    <w:rsid w:val="00EE0AB7"/>
    <w:rsid w:val="00EE3D43"/>
    <w:rsid w:val="00EE4D2F"/>
    <w:rsid w:val="00EE5B71"/>
    <w:rsid w:val="00EE6DF2"/>
    <w:rsid w:val="00EE7323"/>
    <w:rsid w:val="00EF288C"/>
    <w:rsid w:val="00EF55BA"/>
    <w:rsid w:val="00EF6F3D"/>
    <w:rsid w:val="00F045A8"/>
    <w:rsid w:val="00F07946"/>
    <w:rsid w:val="00F07A4D"/>
    <w:rsid w:val="00F15327"/>
    <w:rsid w:val="00F21F2C"/>
    <w:rsid w:val="00F22285"/>
    <w:rsid w:val="00F22CC5"/>
    <w:rsid w:val="00F24865"/>
    <w:rsid w:val="00F26280"/>
    <w:rsid w:val="00F31CD7"/>
    <w:rsid w:val="00F34525"/>
    <w:rsid w:val="00F3673A"/>
    <w:rsid w:val="00F401DA"/>
    <w:rsid w:val="00F4356D"/>
    <w:rsid w:val="00F53EB7"/>
    <w:rsid w:val="00F5476B"/>
    <w:rsid w:val="00F54890"/>
    <w:rsid w:val="00F61CEA"/>
    <w:rsid w:val="00F7086D"/>
    <w:rsid w:val="00F732AC"/>
    <w:rsid w:val="00F76C52"/>
    <w:rsid w:val="00F77E8F"/>
    <w:rsid w:val="00F85DDB"/>
    <w:rsid w:val="00F90F07"/>
    <w:rsid w:val="00F916DE"/>
    <w:rsid w:val="00F9244F"/>
    <w:rsid w:val="00F944B1"/>
    <w:rsid w:val="00F94C93"/>
    <w:rsid w:val="00FA0AD8"/>
    <w:rsid w:val="00FA3F15"/>
    <w:rsid w:val="00FA61DE"/>
    <w:rsid w:val="00FB116C"/>
    <w:rsid w:val="00FB2E85"/>
    <w:rsid w:val="00FB423C"/>
    <w:rsid w:val="00FC3E6D"/>
    <w:rsid w:val="00FC7DC3"/>
    <w:rsid w:val="00FD396B"/>
    <w:rsid w:val="00FD5FB6"/>
    <w:rsid w:val="00FE027B"/>
    <w:rsid w:val="00FE1316"/>
    <w:rsid w:val="00FE32CA"/>
    <w:rsid w:val="00FE3ACB"/>
    <w:rsid w:val="00FE453D"/>
    <w:rsid w:val="00FE6A04"/>
    <w:rsid w:val="00FF44C7"/>
    <w:rsid w:val="00FF6B61"/>
    <w:rsid w:val="00FF6D72"/>
    <w:rsid w:val="00FF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29E8"/>
  <w15:docId w15:val="{F97D7C1F-C353-4CE1-A9DD-867CE1F6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FCA"/>
    <w:pPr>
      <w:ind w:left="720"/>
      <w:contextualSpacing/>
    </w:pPr>
  </w:style>
  <w:style w:type="paragraph" w:styleId="Header">
    <w:name w:val="header"/>
    <w:basedOn w:val="Normal"/>
    <w:link w:val="HeaderChar"/>
    <w:uiPriority w:val="99"/>
    <w:unhideWhenUsed/>
    <w:rsid w:val="00EB3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45A"/>
  </w:style>
  <w:style w:type="paragraph" w:styleId="Footer">
    <w:name w:val="footer"/>
    <w:basedOn w:val="Normal"/>
    <w:link w:val="FooterChar"/>
    <w:uiPriority w:val="99"/>
    <w:unhideWhenUsed/>
    <w:rsid w:val="00EB3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45A"/>
  </w:style>
  <w:style w:type="paragraph" w:styleId="FootnoteText">
    <w:name w:val="footnote text"/>
    <w:basedOn w:val="Normal"/>
    <w:link w:val="FootnoteTextChar"/>
    <w:uiPriority w:val="99"/>
    <w:semiHidden/>
    <w:unhideWhenUsed/>
    <w:rsid w:val="005130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003"/>
    <w:rPr>
      <w:sz w:val="20"/>
      <w:szCs w:val="20"/>
    </w:rPr>
  </w:style>
  <w:style w:type="character" w:styleId="FootnoteReference">
    <w:name w:val="footnote reference"/>
    <w:basedOn w:val="DefaultParagraphFont"/>
    <w:uiPriority w:val="99"/>
    <w:semiHidden/>
    <w:unhideWhenUsed/>
    <w:rsid w:val="00513003"/>
    <w:rPr>
      <w:vertAlign w:val="superscript"/>
    </w:rPr>
  </w:style>
  <w:style w:type="character" w:styleId="Hyperlink">
    <w:name w:val="Hyperlink"/>
    <w:basedOn w:val="DefaultParagraphFont"/>
    <w:uiPriority w:val="99"/>
    <w:unhideWhenUsed/>
    <w:rsid w:val="004D5DFB"/>
    <w:rPr>
      <w:color w:val="0000FF" w:themeColor="hyperlink"/>
      <w:u w:val="single"/>
    </w:rPr>
  </w:style>
  <w:style w:type="paragraph" w:styleId="BalloonText">
    <w:name w:val="Balloon Text"/>
    <w:basedOn w:val="Normal"/>
    <w:link w:val="BalloonTextChar"/>
    <w:uiPriority w:val="99"/>
    <w:semiHidden/>
    <w:unhideWhenUsed/>
    <w:rsid w:val="00907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BCC"/>
    <w:rPr>
      <w:rFonts w:ascii="Tahoma" w:hAnsi="Tahoma" w:cs="Tahoma"/>
      <w:sz w:val="16"/>
      <w:szCs w:val="16"/>
    </w:rPr>
  </w:style>
  <w:style w:type="character" w:styleId="UnresolvedMention">
    <w:name w:val="Unresolved Mention"/>
    <w:basedOn w:val="DefaultParagraphFont"/>
    <w:uiPriority w:val="99"/>
    <w:semiHidden/>
    <w:unhideWhenUsed/>
    <w:rsid w:val="00BD0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4111">
      <w:bodyDiv w:val="1"/>
      <w:marLeft w:val="0"/>
      <w:marRight w:val="0"/>
      <w:marTop w:val="0"/>
      <w:marBottom w:val="0"/>
      <w:divBdr>
        <w:top w:val="none" w:sz="0" w:space="0" w:color="auto"/>
        <w:left w:val="none" w:sz="0" w:space="0" w:color="auto"/>
        <w:bottom w:val="none" w:sz="0" w:space="0" w:color="auto"/>
        <w:right w:val="none" w:sz="0" w:space="0" w:color="auto"/>
      </w:divBdr>
      <w:divsChild>
        <w:div w:id="1383099016">
          <w:marLeft w:val="0"/>
          <w:marRight w:val="0"/>
          <w:marTop w:val="0"/>
          <w:marBottom w:val="0"/>
          <w:divBdr>
            <w:top w:val="none" w:sz="0" w:space="0" w:color="auto"/>
            <w:left w:val="none" w:sz="0" w:space="0" w:color="auto"/>
            <w:bottom w:val="none" w:sz="0" w:space="0" w:color="auto"/>
            <w:right w:val="none" w:sz="0" w:space="0" w:color="auto"/>
          </w:divBdr>
          <w:divsChild>
            <w:div w:id="276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3217">
      <w:bodyDiv w:val="1"/>
      <w:marLeft w:val="0"/>
      <w:marRight w:val="0"/>
      <w:marTop w:val="0"/>
      <w:marBottom w:val="0"/>
      <w:divBdr>
        <w:top w:val="none" w:sz="0" w:space="0" w:color="auto"/>
        <w:left w:val="none" w:sz="0" w:space="0" w:color="auto"/>
        <w:bottom w:val="none" w:sz="0" w:space="0" w:color="auto"/>
        <w:right w:val="none" w:sz="0" w:space="0" w:color="auto"/>
      </w:divBdr>
      <w:divsChild>
        <w:div w:id="298072235">
          <w:marLeft w:val="0"/>
          <w:marRight w:val="0"/>
          <w:marTop w:val="0"/>
          <w:marBottom w:val="0"/>
          <w:divBdr>
            <w:top w:val="none" w:sz="0" w:space="0" w:color="auto"/>
            <w:left w:val="none" w:sz="0" w:space="0" w:color="auto"/>
            <w:bottom w:val="none" w:sz="0" w:space="0" w:color="auto"/>
            <w:right w:val="none" w:sz="0" w:space="0" w:color="auto"/>
          </w:divBdr>
          <w:divsChild>
            <w:div w:id="6013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5748">
      <w:bodyDiv w:val="1"/>
      <w:marLeft w:val="0"/>
      <w:marRight w:val="0"/>
      <w:marTop w:val="0"/>
      <w:marBottom w:val="0"/>
      <w:divBdr>
        <w:top w:val="none" w:sz="0" w:space="0" w:color="auto"/>
        <w:left w:val="none" w:sz="0" w:space="0" w:color="auto"/>
        <w:bottom w:val="none" w:sz="0" w:space="0" w:color="auto"/>
        <w:right w:val="none" w:sz="0" w:space="0" w:color="auto"/>
      </w:divBdr>
      <w:divsChild>
        <w:div w:id="856775760">
          <w:marLeft w:val="0"/>
          <w:marRight w:val="0"/>
          <w:marTop w:val="0"/>
          <w:marBottom w:val="0"/>
          <w:divBdr>
            <w:top w:val="none" w:sz="0" w:space="0" w:color="auto"/>
            <w:left w:val="none" w:sz="0" w:space="0" w:color="auto"/>
            <w:bottom w:val="none" w:sz="0" w:space="0" w:color="auto"/>
            <w:right w:val="none" w:sz="0" w:space="0" w:color="auto"/>
          </w:divBdr>
          <w:divsChild>
            <w:div w:id="14509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3217">
      <w:bodyDiv w:val="1"/>
      <w:marLeft w:val="0"/>
      <w:marRight w:val="0"/>
      <w:marTop w:val="0"/>
      <w:marBottom w:val="0"/>
      <w:divBdr>
        <w:top w:val="none" w:sz="0" w:space="0" w:color="auto"/>
        <w:left w:val="none" w:sz="0" w:space="0" w:color="auto"/>
        <w:bottom w:val="none" w:sz="0" w:space="0" w:color="auto"/>
        <w:right w:val="none" w:sz="0" w:space="0" w:color="auto"/>
      </w:divBdr>
      <w:divsChild>
        <w:div w:id="1541239062">
          <w:marLeft w:val="0"/>
          <w:marRight w:val="0"/>
          <w:marTop w:val="0"/>
          <w:marBottom w:val="0"/>
          <w:divBdr>
            <w:top w:val="none" w:sz="0" w:space="0" w:color="auto"/>
            <w:left w:val="none" w:sz="0" w:space="0" w:color="auto"/>
            <w:bottom w:val="none" w:sz="0" w:space="0" w:color="auto"/>
            <w:right w:val="none" w:sz="0" w:space="0" w:color="auto"/>
          </w:divBdr>
          <w:divsChild>
            <w:div w:id="2409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8574">
      <w:bodyDiv w:val="1"/>
      <w:marLeft w:val="0"/>
      <w:marRight w:val="0"/>
      <w:marTop w:val="0"/>
      <w:marBottom w:val="0"/>
      <w:divBdr>
        <w:top w:val="none" w:sz="0" w:space="0" w:color="auto"/>
        <w:left w:val="none" w:sz="0" w:space="0" w:color="auto"/>
        <w:bottom w:val="none" w:sz="0" w:space="0" w:color="auto"/>
        <w:right w:val="none" w:sz="0" w:space="0" w:color="auto"/>
      </w:divBdr>
      <w:divsChild>
        <w:div w:id="380835819">
          <w:marLeft w:val="0"/>
          <w:marRight w:val="0"/>
          <w:marTop w:val="0"/>
          <w:marBottom w:val="0"/>
          <w:divBdr>
            <w:top w:val="none" w:sz="0" w:space="0" w:color="auto"/>
            <w:left w:val="none" w:sz="0" w:space="0" w:color="auto"/>
            <w:bottom w:val="none" w:sz="0" w:space="0" w:color="auto"/>
            <w:right w:val="none" w:sz="0" w:space="0" w:color="auto"/>
          </w:divBdr>
          <w:divsChild>
            <w:div w:id="9622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3114">
      <w:bodyDiv w:val="1"/>
      <w:marLeft w:val="0"/>
      <w:marRight w:val="0"/>
      <w:marTop w:val="0"/>
      <w:marBottom w:val="0"/>
      <w:divBdr>
        <w:top w:val="none" w:sz="0" w:space="0" w:color="auto"/>
        <w:left w:val="none" w:sz="0" w:space="0" w:color="auto"/>
        <w:bottom w:val="none" w:sz="0" w:space="0" w:color="auto"/>
        <w:right w:val="none" w:sz="0" w:space="0" w:color="auto"/>
      </w:divBdr>
      <w:divsChild>
        <w:div w:id="315499694">
          <w:marLeft w:val="0"/>
          <w:marRight w:val="0"/>
          <w:marTop w:val="0"/>
          <w:marBottom w:val="0"/>
          <w:divBdr>
            <w:top w:val="none" w:sz="0" w:space="0" w:color="auto"/>
            <w:left w:val="none" w:sz="0" w:space="0" w:color="auto"/>
            <w:bottom w:val="none" w:sz="0" w:space="0" w:color="auto"/>
            <w:right w:val="none" w:sz="0" w:space="0" w:color="auto"/>
          </w:divBdr>
          <w:divsChild>
            <w:div w:id="13964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2790">
      <w:bodyDiv w:val="1"/>
      <w:marLeft w:val="0"/>
      <w:marRight w:val="0"/>
      <w:marTop w:val="0"/>
      <w:marBottom w:val="0"/>
      <w:divBdr>
        <w:top w:val="none" w:sz="0" w:space="0" w:color="auto"/>
        <w:left w:val="none" w:sz="0" w:space="0" w:color="auto"/>
        <w:bottom w:val="none" w:sz="0" w:space="0" w:color="auto"/>
        <w:right w:val="none" w:sz="0" w:space="0" w:color="auto"/>
      </w:divBdr>
      <w:divsChild>
        <w:div w:id="1841769580">
          <w:marLeft w:val="0"/>
          <w:marRight w:val="0"/>
          <w:marTop w:val="0"/>
          <w:marBottom w:val="0"/>
          <w:divBdr>
            <w:top w:val="none" w:sz="0" w:space="0" w:color="auto"/>
            <w:left w:val="none" w:sz="0" w:space="0" w:color="auto"/>
            <w:bottom w:val="none" w:sz="0" w:space="0" w:color="auto"/>
            <w:right w:val="none" w:sz="0" w:space="0" w:color="auto"/>
          </w:divBdr>
          <w:divsChild>
            <w:div w:id="1032266242">
              <w:marLeft w:val="0"/>
              <w:marRight w:val="0"/>
              <w:marTop w:val="0"/>
              <w:marBottom w:val="0"/>
              <w:divBdr>
                <w:top w:val="none" w:sz="0" w:space="0" w:color="auto"/>
                <w:left w:val="none" w:sz="0" w:space="0" w:color="auto"/>
                <w:bottom w:val="none" w:sz="0" w:space="0" w:color="auto"/>
                <w:right w:val="none" w:sz="0" w:space="0" w:color="auto"/>
              </w:divBdr>
            </w:div>
            <w:div w:id="1042094745">
              <w:marLeft w:val="0"/>
              <w:marRight w:val="0"/>
              <w:marTop w:val="0"/>
              <w:marBottom w:val="0"/>
              <w:divBdr>
                <w:top w:val="none" w:sz="0" w:space="0" w:color="auto"/>
                <w:left w:val="none" w:sz="0" w:space="0" w:color="auto"/>
                <w:bottom w:val="none" w:sz="0" w:space="0" w:color="auto"/>
                <w:right w:val="none" w:sz="0" w:space="0" w:color="auto"/>
              </w:divBdr>
              <w:divsChild>
                <w:div w:id="169951905">
                  <w:marLeft w:val="0"/>
                  <w:marRight w:val="0"/>
                  <w:marTop w:val="0"/>
                  <w:marBottom w:val="0"/>
                  <w:divBdr>
                    <w:top w:val="none" w:sz="0" w:space="0" w:color="auto"/>
                    <w:left w:val="none" w:sz="0" w:space="0" w:color="auto"/>
                    <w:bottom w:val="none" w:sz="0" w:space="0" w:color="auto"/>
                    <w:right w:val="none" w:sz="0" w:space="0" w:color="auto"/>
                  </w:divBdr>
                  <w:divsChild>
                    <w:div w:id="6688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7818">
      <w:bodyDiv w:val="1"/>
      <w:marLeft w:val="0"/>
      <w:marRight w:val="0"/>
      <w:marTop w:val="0"/>
      <w:marBottom w:val="0"/>
      <w:divBdr>
        <w:top w:val="none" w:sz="0" w:space="0" w:color="auto"/>
        <w:left w:val="none" w:sz="0" w:space="0" w:color="auto"/>
        <w:bottom w:val="none" w:sz="0" w:space="0" w:color="auto"/>
        <w:right w:val="none" w:sz="0" w:space="0" w:color="auto"/>
      </w:divBdr>
      <w:divsChild>
        <w:div w:id="355616297">
          <w:marLeft w:val="0"/>
          <w:marRight w:val="0"/>
          <w:marTop w:val="0"/>
          <w:marBottom w:val="0"/>
          <w:divBdr>
            <w:top w:val="none" w:sz="0" w:space="0" w:color="auto"/>
            <w:left w:val="none" w:sz="0" w:space="0" w:color="auto"/>
            <w:bottom w:val="none" w:sz="0" w:space="0" w:color="auto"/>
            <w:right w:val="none" w:sz="0" w:space="0" w:color="auto"/>
          </w:divBdr>
          <w:divsChild>
            <w:div w:id="2978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0668">
      <w:bodyDiv w:val="1"/>
      <w:marLeft w:val="0"/>
      <w:marRight w:val="0"/>
      <w:marTop w:val="0"/>
      <w:marBottom w:val="0"/>
      <w:divBdr>
        <w:top w:val="none" w:sz="0" w:space="0" w:color="auto"/>
        <w:left w:val="none" w:sz="0" w:space="0" w:color="auto"/>
        <w:bottom w:val="none" w:sz="0" w:space="0" w:color="auto"/>
        <w:right w:val="none" w:sz="0" w:space="0" w:color="auto"/>
      </w:divBdr>
      <w:divsChild>
        <w:div w:id="1029794375">
          <w:marLeft w:val="0"/>
          <w:marRight w:val="0"/>
          <w:marTop w:val="0"/>
          <w:marBottom w:val="0"/>
          <w:divBdr>
            <w:top w:val="none" w:sz="0" w:space="0" w:color="auto"/>
            <w:left w:val="none" w:sz="0" w:space="0" w:color="auto"/>
            <w:bottom w:val="none" w:sz="0" w:space="0" w:color="auto"/>
            <w:right w:val="none" w:sz="0" w:space="0" w:color="auto"/>
          </w:divBdr>
          <w:divsChild>
            <w:div w:id="8011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5491">
      <w:bodyDiv w:val="1"/>
      <w:marLeft w:val="0"/>
      <w:marRight w:val="0"/>
      <w:marTop w:val="0"/>
      <w:marBottom w:val="0"/>
      <w:divBdr>
        <w:top w:val="none" w:sz="0" w:space="0" w:color="auto"/>
        <w:left w:val="none" w:sz="0" w:space="0" w:color="auto"/>
        <w:bottom w:val="none" w:sz="0" w:space="0" w:color="auto"/>
        <w:right w:val="none" w:sz="0" w:space="0" w:color="auto"/>
      </w:divBdr>
      <w:divsChild>
        <w:div w:id="1231696167">
          <w:marLeft w:val="0"/>
          <w:marRight w:val="0"/>
          <w:marTop w:val="0"/>
          <w:marBottom w:val="0"/>
          <w:divBdr>
            <w:top w:val="none" w:sz="0" w:space="0" w:color="auto"/>
            <w:left w:val="none" w:sz="0" w:space="0" w:color="auto"/>
            <w:bottom w:val="none" w:sz="0" w:space="0" w:color="auto"/>
            <w:right w:val="none" w:sz="0" w:space="0" w:color="auto"/>
          </w:divBdr>
          <w:divsChild>
            <w:div w:id="21466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97813">
      <w:bodyDiv w:val="1"/>
      <w:marLeft w:val="0"/>
      <w:marRight w:val="0"/>
      <w:marTop w:val="0"/>
      <w:marBottom w:val="0"/>
      <w:divBdr>
        <w:top w:val="none" w:sz="0" w:space="0" w:color="auto"/>
        <w:left w:val="none" w:sz="0" w:space="0" w:color="auto"/>
        <w:bottom w:val="none" w:sz="0" w:space="0" w:color="auto"/>
        <w:right w:val="none" w:sz="0" w:space="0" w:color="auto"/>
      </w:divBdr>
      <w:divsChild>
        <w:div w:id="2028024488">
          <w:marLeft w:val="0"/>
          <w:marRight w:val="0"/>
          <w:marTop w:val="0"/>
          <w:marBottom w:val="0"/>
          <w:divBdr>
            <w:top w:val="none" w:sz="0" w:space="0" w:color="auto"/>
            <w:left w:val="none" w:sz="0" w:space="0" w:color="auto"/>
            <w:bottom w:val="none" w:sz="0" w:space="0" w:color="auto"/>
            <w:right w:val="none" w:sz="0" w:space="0" w:color="auto"/>
          </w:divBdr>
          <w:divsChild>
            <w:div w:id="13072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5175">
      <w:bodyDiv w:val="1"/>
      <w:marLeft w:val="0"/>
      <w:marRight w:val="0"/>
      <w:marTop w:val="0"/>
      <w:marBottom w:val="0"/>
      <w:divBdr>
        <w:top w:val="none" w:sz="0" w:space="0" w:color="auto"/>
        <w:left w:val="none" w:sz="0" w:space="0" w:color="auto"/>
        <w:bottom w:val="none" w:sz="0" w:space="0" w:color="auto"/>
        <w:right w:val="none" w:sz="0" w:space="0" w:color="auto"/>
      </w:divBdr>
      <w:divsChild>
        <w:div w:id="540167436">
          <w:marLeft w:val="0"/>
          <w:marRight w:val="0"/>
          <w:marTop w:val="0"/>
          <w:marBottom w:val="0"/>
          <w:divBdr>
            <w:top w:val="none" w:sz="0" w:space="0" w:color="auto"/>
            <w:left w:val="none" w:sz="0" w:space="0" w:color="auto"/>
            <w:bottom w:val="none" w:sz="0" w:space="0" w:color="auto"/>
            <w:right w:val="none" w:sz="0" w:space="0" w:color="auto"/>
          </w:divBdr>
          <w:divsChild>
            <w:div w:id="185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4061">
      <w:bodyDiv w:val="1"/>
      <w:marLeft w:val="0"/>
      <w:marRight w:val="0"/>
      <w:marTop w:val="0"/>
      <w:marBottom w:val="0"/>
      <w:divBdr>
        <w:top w:val="none" w:sz="0" w:space="0" w:color="auto"/>
        <w:left w:val="none" w:sz="0" w:space="0" w:color="auto"/>
        <w:bottom w:val="none" w:sz="0" w:space="0" w:color="auto"/>
        <w:right w:val="none" w:sz="0" w:space="0" w:color="auto"/>
      </w:divBdr>
      <w:divsChild>
        <w:div w:id="1032147426">
          <w:marLeft w:val="0"/>
          <w:marRight w:val="0"/>
          <w:marTop w:val="0"/>
          <w:marBottom w:val="0"/>
          <w:divBdr>
            <w:top w:val="none" w:sz="0" w:space="0" w:color="auto"/>
            <w:left w:val="none" w:sz="0" w:space="0" w:color="auto"/>
            <w:bottom w:val="none" w:sz="0" w:space="0" w:color="auto"/>
            <w:right w:val="none" w:sz="0" w:space="0" w:color="auto"/>
          </w:divBdr>
          <w:divsChild>
            <w:div w:id="6877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861">
      <w:bodyDiv w:val="1"/>
      <w:marLeft w:val="0"/>
      <w:marRight w:val="0"/>
      <w:marTop w:val="0"/>
      <w:marBottom w:val="0"/>
      <w:divBdr>
        <w:top w:val="none" w:sz="0" w:space="0" w:color="auto"/>
        <w:left w:val="none" w:sz="0" w:space="0" w:color="auto"/>
        <w:bottom w:val="none" w:sz="0" w:space="0" w:color="auto"/>
        <w:right w:val="none" w:sz="0" w:space="0" w:color="auto"/>
      </w:divBdr>
      <w:divsChild>
        <w:div w:id="404642942">
          <w:marLeft w:val="0"/>
          <w:marRight w:val="0"/>
          <w:marTop w:val="0"/>
          <w:marBottom w:val="0"/>
          <w:divBdr>
            <w:top w:val="none" w:sz="0" w:space="0" w:color="auto"/>
            <w:left w:val="none" w:sz="0" w:space="0" w:color="auto"/>
            <w:bottom w:val="none" w:sz="0" w:space="0" w:color="auto"/>
            <w:right w:val="none" w:sz="0" w:space="0" w:color="auto"/>
          </w:divBdr>
          <w:divsChild>
            <w:div w:id="15559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79699-E8AD-4878-BD4E-B8C43C5E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25</Pages>
  <Words>5941</Words>
  <Characters>33006</Characters>
  <Application>Microsoft Office Word</Application>
  <DocSecurity>0</DocSecurity>
  <PresentationFormat/>
  <Lines>464</Lines>
  <Paragraphs>63</Paragraphs>
  <ScaleCrop>false</ScaleCrop>
  <HeadingPairs>
    <vt:vector size="2" baseType="variant">
      <vt:variant>
        <vt:lpstr>Title</vt:lpstr>
      </vt:variant>
      <vt:variant>
        <vt:i4>1</vt:i4>
      </vt:variant>
    </vt:vector>
  </HeadingPairs>
  <TitlesOfParts>
    <vt:vector size="1" baseType="lpstr">
      <vt:lpstr>ESI and Social Media (00542647;1).DOCX</vt:lpstr>
    </vt:vector>
  </TitlesOfParts>
  <Company/>
  <LinksUpToDate>false</LinksUpToDate>
  <CharactersWithSpaces>39066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 and Social Media (00542647;1).DOCX</dc:title>
  <dc:subject>00542647.DOCX /2 /Font=8</dc:subject>
  <dc:creator>Brandon Arnold</dc:creator>
  <cp:keywords/>
  <dc:description/>
  <cp:lastModifiedBy>Troy Covington</cp:lastModifiedBy>
  <cp:revision>9</cp:revision>
  <cp:lastPrinted>2016-10-12T16:42:00Z</cp:lastPrinted>
  <dcterms:created xsi:type="dcterms:W3CDTF">2020-11-27T16:44:00Z</dcterms:created>
  <dcterms:modified xsi:type="dcterms:W3CDTF">2020-12-01T17:00:00Z</dcterms:modified>
</cp:coreProperties>
</file>