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C" w:rsidRDefault="00A83221" w:rsidP="00A83221">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COMPLEX CONTRACT DISPUTE ISSUES AND REMEDIES</w:t>
      </w:r>
    </w:p>
    <w:p w:rsidR="00A83221" w:rsidRDefault="00A83221" w:rsidP="00A832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Troy R. Covington, Bloom Parham, LLP</w:t>
      </w:r>
    </w:p>
    <w:p w:rsidR="00A83221" w:rsidRDefault="00A83221" w:rsidP="00A83221">
      <w:pPr>
        <w:spacing w:line="240" w:lineRule="auto"/>
        <w:contextualSpacing/>
        <w:jc w:val="center"/>
        <w:rPr>
          <w:rFonts w:ascii="Times New Roman" w:hAnsi="Times New Roman" w:cs="Times New Roman"/>
          <w:sz w:val="24"/>
          <w:szCs w:val="24"/>
        </w:rPr>
      </w:pPr>
    </w:p>
    <w:p w:rsidR="00A83221" w:rsidRDefault="00A27D49" w:rsidP="00A83221">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u w:val="single"/>
        </w:rPr>
        <w:t>Advanced Drafting Techniques of Arbitration Clauses</w:t>
      </w:r>
    </w:p>
    <w:p w:rsidR="00A27D49" w:rsidRDefault="005D47FF" w:rsidP="00A83221">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t>What Does the Arbitrator Decide?</w:t>
      </w:r>
    </w:p>
    <w:p w:rsidR="006E0994" w:rsidRPr="00E83D84" w:rsidRDefault="005D47FF" w:rsidP="00A83221">
      <w:pPr>
        <w:spacing w:line="360" w:lineRule="auto"/>
        <w:contextualSpacing/>
        <w:rPr>
          <w:rFonts w:ascii="Times New Roman" w:hAnsi="Times New Roman" w:cs="Times New Roman"/>
          <w:i/>
          <w:sz w:val="24"/>
          <w:szCs w:val="24"/>
        </w:rPr>
      </w:pPr>
      <w:r>
        <w:rPr>
          <w:rFonts w:ascii="Times New Roman" w:hAnsi="Times New Roman" w:cs="Times New Roman"/>
          <w:sz w:val="24"/>
          <w:szCs w:val="24"/>
        </w:rPr>
        <w:tab/>
      </w:r>
      <w:r w:rsidR="006E0994">
        <w:rPr>
          <w:rFonts w:ascii="Times New Roman" w:hAnsi="Times New Roman" w:cs="Times New Roman"/>
          <w:sz w:val="24"/>
          <w:szCs w:val="24"/>
        </w:rPr>
        <w:t xml:space="preserve">“[A]rbitration is a matter of contract and a party cannot be required to submit to arbitration any dispute which he has not agreed so to submit.  This axiom recognizes the fact arbitrators derive their authority to resolve disputes only because the parties have agreed in advance to submit such grievances to arbitration.”  </w:t>
      </w:r>
      <w:r w:rsidR="006E0994">
        <w:rPr>
          <w:rFonts w:ascii="Times New Roman" w:hAnsi="Times New Roman" w:cs="Times New Roman"/>
          <w:i/>
          <w:sz w:val="24"/>
          <w:szCs w:val="24"/>
        </w:rPr>
        <w:t>Multi-Fin. Secs. Corp. v. King</w:t>
      </w:r>
      <w:r w:rsidR="006E0994">
        <w:rPr>
          <w:rFonts w:ascii="Times New Roman" w:hAnsi="Times New Roman" w:cs="Times New Roman"/>
          <w:sz w:val="24"/>
          <w:szCs w:val="24"/>
        </w:rPr>
        <w:t xml:space="preserve">, </w:t>
      </w:r>
      <w:r w:rsidR="00E83D84">
        <w:rPr>
          <w:rFonts w:ascii="Times New Roman" w:hAnsi="Times New Roman" w:cs="Times New Roman"/>
          <w:sz w:val="24"/>
          <w:szCs w:val="24"/>
        </w:rPr>
        <w:t xml:space="preserve">386 F.3d 1364, 1367 (11th Cir. 2004) (quoting </w:t>
      </w:r>
      <w:r w:rsidR="00E83D84">
        <w:rPr>
          <w:rFonts w:ascii="Times New Roman" w:hAnsi="Times New Roman" w:cs="Times New Roman"/>
          <w:i/>
          <w:sz w:val="24"/>
          <w:szCs w:val="24"/>
        </w:rPr>
        <w:t>AT&amp;T Techs., Inc. v. Commcn’s Workers of Am.</w:t>
      </w:r>
      <w:r w:rsidR="00E83D84">
        <w:rPr>
          <w:rFonts w:ascii="Times New Roman" w:hAnsi="Times New Roman" w:cs="Times New Roman"/>
          <w:sz w:val="24"/>
          <w:szCs w:val="24"/>
        </w:rPr>
        <w:t>, 475 U.S. 643, 648-49 (1986)).</w:t>
      </w:r>
      <w:r w:rsidR="00E83D84">
        <w:rPr>
          <w:rFonts w:ascii="Times New Roman" w:hAnsi="Times New Roman" w:cs="Times New Roman"/>
          <w:i/>
          <w:sz w:val="24"/>
          <w:szCs w:val="24"/>
        </w:rPr>
        <w:t xml:space="preserve"> </w:t>
      </w:r>
    </w:p>
    <w:p w:rsidR="005D47FF" w:rsidRDefault="005D47FF" w:rsidP="006E099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Ordinarily, “it is up to the parties to determine whether a particular matter is primarily for arbitrators or courts to decide.”  </w:t>
      </w:r>
      <w:r>
        <w:rPr>
          <w:rFonts w:ascii="Times New Roman" w:hAnsi="Times New Roman" w:cs="Times New Roman"/>
          <w:i/>
          <w:sz w:val="24"/>
          <w:szCs w:val="24"/>
        </w:rPr>
        <w:t>Bamberger Rosenheim, Ltd. v. OA Development, Inc.</w:t>
      </w:r>
      <w:r>
        <w:rPr>
          <w:rFonts w:ascii="Times New Roman" w:hAnsi="Times New Roman" w:cs="Times New Roman"/>
          <w:sz w:val="24"/>
          <w:szCs w:val="24"/>
        </w:rPr>
        <w:t xml:space="preserve">, 862 F.3d 1284, 1287-88 (11th Cir. 2017) (quoting </w:t>
      </w:r>
      <w:r w:rsidR="004F59A6" w:rsidRPr="004F59A6">
        <w:rPr>
          <w:rFonts w:ascii="Times New Roman" w:hAnsi="Times New Roman" w:cs="Times New Roman"/>
          <w:i/>
          <w:sz w:val="24"/>
          <w:szCs w:val="24"/>
        </w:rPr>
        <w:t>BG Grp. PLC v. Republic of Arg.</w:t>
      </w:r>
      <w:r w:rsidR="004F59A6" w:rsidRPr="004F59A6">
        <w:rPr>
          <w:rFonts w:ascii="Times New Roman" w:hAnsi="Times New Roman" w:cs="Times New Roman"/>
          <w:sz w:val="24"/>
          <w:szCs w:val="24"/>
        </w:rPr>
        <w:t>, 134 S. Ct. 1198, 1206 (2014)</w:t>
      </w:r>
      <w:r w:rsidR="004F59A6">
        <w:rPr>
          <w:rFonts w:ascii="Times New Roman" w:hAnsi="Times New Roman" w:cs="Times New Roman"/>
          <w:sz w:val="24"/>
          <w:szCs w:val="24"/>
        </w:rPr>
        <w:t xml:space="preserve">).  </w:t>
      </w:r>
      <w:r w:rsidR="00E45E42">
        <w:rPr>
          <w:rFonts w:ascii="Times New Roman" w:hAnsi="Times New Roman" w:cs="Times New Roman"/>
          <w:sz w:val="24"/>
          <w:szCs w:val="24"/>
        </w:rPr>
        <w:t xml:space="preserve">However, if “the contract is silent on the matter of who primarily is to decide ‘threshold’ questions about arbitration, courts determine the parties’ intent with the help of presumptions.”  </w:t>
      </w:r>
      <w:r w:rsidR="00E45E42">
        <w:rPr>
          <w:rFonts w:ascii="Times New Roman" w:hAnsi="Times New Roman" w:cs="Times New Roman"/>
          <w:i/>
          <w:sz w:val="24"/>
          <w:szCs w:val="24"/>
        </w:rPr>
        <w:t>Id.</w:t>
      </w:r>
      <w:r w:rsidR="006B4639">
        <w:rPr>
          <w:rFonts w:ascii="Times New Roman" w:hAnsi="Times New Roman" w:cs="Times New Roman"/>
          <w:sz w:val="24"/>
          <w:szCs w:val="24"/>
        </w:rPr>
        <w:t xml:space="preserve"> at 1288.</w:t>
      </w:r>
    </w:p>
    <w:p w:rsidR="002076D5" w:rsidRPr="00FE3E4C" w:rsidRDefault="00334B08" w:rsidP="00E14D6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“On the one hand, courts presume that the parties intend courts, not arbitrators, to decide … disputes about ‘arbitrability.’  These include questions such as ‘whether the parties are bound by a given arbitration clause,’ or ‘whether an arbitration clause in a concededly binding contract applies to a particular type of controversy.’”</w:t>
      </w:r>
      <w:r w:rsidR="0039041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Pr>
          <w:rFonts w:ascii="Times New Roman" w:hAnsi="Times New Roman" w:cs="Times New Roman"/>
          <w:i/>
          <w:sz w:val="24"/>
          <w:szCs w:val="24"/>
        </w:rPr>
        <w:t>Id.</w:t>
      </w:r>
      <w:r>
        <w:rPr>
          <w:rFonts w:ascii="Times New Roman" w:hAnsi="Times New Roman" w:cs="Times New Roman"/>
          <w:sz w:val="24"/>
          <w:szCs w:val="24"/>
        </w:rPr>
        <w:t xml:space="preserve"> (quoting </w:t>
      </w:r>
      <w:r>
        <w:rPr>
          <w:rFonts w:ascii="Times New Roman" w:hAnsi="Times New Roman" w:cs="Times New Roman"/>
          <w:i/>
          <w:sz w:val="24"/>
          <w:szCs w:val="24"/>
        </w:rPr>
        <w:lastRenderedPageBreak/>
        <w:t>BG Grp.</w:t>
      </w:r>
      <w:r>
        <w:rPr>
          <w:rFonts w:ascii="Times New Roman" w:hAnsi="Times New Roman" w:cs="Times New Roman"/>
          <w:sz w:val="24"/>
          <w:szCs w:val="24"/>
        </w:rPr>
        <w:t>, 134 S. Ct. at 1206</w:t>
      </w:r>
      <w:r w:rsidR="00E14D6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See also </w:t>
      </w:r>
      <w:r w:rsidRPr="00204F38">
        <w:rPr>
          <w:rFonts w:ascii="Times New Roman" w:hAnsi="Times New Roman" w:cs="Times New Roman"/>
          <w:i/>
          <w:sz w:val="24"/>
          <w:szCs w:val="24"/>
        </w:rPr>
        <w:t>Howsam v. Dean Witter Reynolds, Inc.</w:t>
      </w:r>
      <w:r w:rsidR="00204F38" w:rsidRPr="00204F38">
        <w:rPr>
          <w:rFonts w:ascii="Times New Roman" w:hAnsi="Times New Roman" w:cs="Times New Roman"/>
          <w:sz w:val="24"/>
          <w:szCs w:val="24"/>
        </w:rPr>
        <w:t>, 537 U.S. 79, 84 (2002) (holding that whether contracting parties are “bound by a given arbitration clause raises a question of arbitrability for a court to decide</w:t>
      </w:r>
      <w:r w:rsidR="00FE3E4C">
        <w:rPr>
          <w:rFonts w:ascii="Times New Roman" w:hAnsi="Times New Roman" w:cs="Times New Roman"/>
          <w:sz w:val="24"/>
          <w:szCs w:val="24"/>
        </w:rPr>
        <w:t xml:space="preserve">”); </w:t>
      </w:r>
      <w:r w:rsidR="00FE3E4C">
        <w:rPr>
          <w:rFonts w:ascii="Times New Roman" w:hAnsi="Times New Roman" w:cs="Times New Roman"/>
          <w:i/>
          <w:sz w:val="24"/>
          <w:szCs w:val="24"/>
        </w:rPr>
        <w:t>Jones v. Waffle House, Inc.</w:t>
      </w:r>
      <w:r w:rsidR="00FE3E4C">
        <w:rPr>
          <w:rFonts w:ascii="Times New Roman" w:hAnsi="Times New Roman" w:cs="Times New Roman"/>
          <w:sz w:val="24"/>
          <w:szCs w:val="24"/>
        </w:rPr>
        <w:t>, 866 F.3d 1257, 1267 (11th Cir. 2017) (stating that when courts decide whether a party has agreed that arbitrators should decide gateway issues of arbitrability, they “should not assume that the parties agreed to arbitrate arbitrability unless there is clear and unmistakable evidence that they did so”).</w:t>
      </w:r>
    </w:p>
    <w:p w:rsidR="00334B08" w:rsidRDefault="00E14D63" w:rsidP="002076D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the other hand, courts presume that the parties intend arbitrators, not courts, to decide disputes about the meaning and application of particular procedural preconditions for the use of arbitration.”  </w:t>
      </w:r>
      <w:r>
        <w:rPr>
          <w:rFonts w:ascii="Times New Roman" w:hAnsi="Times New Roman" w:cs="Times New Roman"/>
          <w:i/>
          <w:sz w:val="24"/>
          <w:szCs w:val="24"/>
        </w:rPr>
        <w:t>Bamberger Rosenheim</w:t>
      </w:r>
      <w:r>
        <w:rPr>
          <w:rFonts w:ascii="Times New Roman" w:hAnsi="Times New Roman" w:cs="Times New Roman"/>
          <w:sz w:val="24"/>
          <w:szCs w:val="24"/>
        </w:rPr>
        <w:t xml:space="preserve">, 862 F.3d at 1288 (quoting </w:t>
      </w:r>
      <w:r>
        <w:rPr>
          <w:rFonts w:ascii="Times New Roman" w:hAnsi="Times New Roman" w:cs="Times New Roman"/>
          <w:i/>
          <w:sz w:val="24"/>
          <w:szCs w:val="24"/>
        </w:rPr>
        <w:t>BG Grp.</w:t>
      </w:r>
      <w:r>
        <w:rPr>
          <w:rFonts w:ascii="Times New Roman" w:hAnsi="Times New Roman" w:cs="Times New Roman"/>
          <w:sz w:val="24"/>
          <w:szCs w:val="24"/>
        </w:rPr>
        <w:t xml:space="preserve">, 134 S. Ct. at 1207).  Where </w:t>
      </w:r>
      <w:r w:rsidRPr="00E14D63">
        <w:rPr>
          <w:rFonts w:ascii="Times New Roman" w:hAnsi="Times New Roman" w:cs="Times New Roman"/>
          <w:sz w:val="24"/>
          <w:szCs w:val="24"/>
        </w:rPr>
        <w:t xml:space="preserve">an arbitration provision is valid, “procedural questions which grow out of the dispute and bear on its final disposition are presumptively </w:t>
      </w:r>
      <w:r w:rsidRPr="00E14D63">
        <w:rPr>
          <w:rFonts w:ascii="Times New Roman" w:hAnsi="Times New Roman" w:cs="Times New Roman"/>
          <w:sz w:val="24"/>
          <w:szCs w:val="24"/>
          <w:u w:val="single"/>
        </w:rPr>
        <w:t>not</w:t>
      </w:r>
      <w:r w:rsidRPr="00E14D63">
        <w:rPr>
          <w:rFonts w:ascii="Times New Roman" w:hAnsi="Times New Roman" w:cs="Times New Roman"/>
          <w:sz w:val="24"/>
          <w:szCs w:val="24"/>
        </w:rPr>
        <w:t xml:space="preserve"> for the judge, but for an arbitrator to decide.”  </w:t>
      </w:r>
      <w:r>
        <w:rPr>
          <w:rFonts w:ascii="Times New Roman" w:hAnsi="Times New Roman" w:cs="Times New Roman"/>
          <w:i/>
          <w:sz w:val="24"/>
          <w:szCs w:val="24"/>
        </w:rPr>
        <w:t>Howsam</w:t>
      </w:r>
      <w:r>
        <w:rPr>
          <w:rFonts w:ascii="Times New Roman" w:hAnsi="Times New Roman" w:cs="Times New Roman"/>
          <w:sz w:val="24"/>
          <w:szCs w:val="24"/>
        </w:rPr>
        <w:t>, 537 U.S. at 84.</w:t>
      </w:r>
      <w:r w:rsidRPr="00E14D63">
        <w:rPr>
          <w:rFonts w:ascii="Times New Roman" w:hAnsi="Times New Roman" w:cs="Times New Roman"/>
          <w:sz w:val="24"/>
          <w:szCs w:val="24"/>
        </w:rPr>
        <w:t xml:space="preserve">  The “relevant question here is </w:t>
      </w:r>
      <w:r w:rsidRPr="00E14D63">
        <w:rPr>
          <w:rFonts w:ascii="Times New Roman" w:hAnsi="Times New Roman" w:cs="Times New Roman"/>
          <w:sz w:val="24"/>
          <w:szCs w:val="24"/>
          <w:u w:val="single"/>
        </w:rPr>
        <w:t>what kind of arbitration proceeding</w:t>
      </w:r>
      <w:r w:rsidRPr="00E14D63">
        <w:rPr>
          <w:rFonts w:ascii="Times New Roman" w:hAnsi="Times New Roman" w:cs="Times New Roman"/>
          <w:sz w:val="24"/>
          <w:szCs w:val="24"/>
        </w:rPr>
        <w:t xml:space="preserve"> the parties agreed to.  That question does not concern a state statute or judicial procedures.  It concerns contract interpretation and arbitration procedures.  Arbitrators are well situated to answer that question.”  </w:t>
      </w:r>
      <w:r w:rsidRPr="00E14D63">
        <w:rPr>
          <w:rFonts w:ascii="Times New Roman" w:hAnsi="Times New Roman" w:cs="Times New Roman"/>
          <w:i/>
          <w:sz w:val="24"/>
          <w:szCs w:val="24"/>
        </w:rPr>
        <w:t>Green Tree Fin. Corp. v. Bazzle</w:t>
      </w:r>
      <w:r w:rsidRPr="00E14D63">
        <w:rPr>
          <w:rFonts w:ascii="Times New Roman" w:hAnsi="Times New Roman" w:cs="Times New Roman"/>
          <w:sz w:val="24"/>
          <w:szCs w:val="24"/>
        </w:rPr>
        <w:t>, 539 U.S. 444, 452-53 (2003) (plurality opinion) (citations omitted) (emphasis in original).</w:t>
      </w:r>
      <w:r w:rsidR="002076D5">
        <w:rPr>
          <w:rFonts w:ascii="Times New Roman" w:hAnsi="Times New Roman" w:cs="Times New Roman"/>
          <w:sz w:val="24"/>
          <w:szCs w:val="24"/>
        </w:rPr>
        <w:t xml:space="preserve">  “Procedural questions ‘are generally for the arbitrators themselves to resolve.’”  </w:t>
      </w:r>
      <w:r w:rsidR="002076D5">
        <w:rPr>
          <w:rFonts w:ascii="Times New Roman" w:hAnsi="Times New Roman" w:cs="Times New Roman"/>
          <w:i/>
          <w:sz w:val="24"/>
          <w:szCs w:val="24"/>
        </w:rPr>
        <w:t>Bamberger Rosenheim</w:t>
      </w:r>
      <w:r w:rsidR="002076D5">
        <w:rPr>
          <w:rFonts w:ascii="Times New Roman" w:hAnsi="Times New Roman" w:cs="Times New Roman"/>
          <w:sz w:val="24"/>
          <w:szCs w:val="24"/>
        </w:rPr>
        <w:t xml:space="preserve">, 862 F.3d at 1288 (quoting </w:t>
      </w:r>
      <w:r w:rsidR="002076D5">
        <w:rPr>
          <w:rFonts w:ascii="Times New Roman" w:hAnsi="Times New Roman" w:cs="Times New Roman"/>
          <w:i/>
          <w:sz w:val="24"/>
          <w:szCs w:val="24"/>
        </w:rPr>
        <w:t>Klay v. United Healthgroup, Inc.</w:t>
      </w:r>
      <w:r w:rsidR="002076D5">
        <w:rPr>
          <w:rFonts w:ascii="Times New Roman" w:hAnsi="Times New Roman" w:cs="Times New Roman"/>
          <w:sz w:val="24"/>
          <w:szCs w:val="24"/>
        </w:rPr>
        <w:t xml:space="preserve">, 376 F.3d 1092, 1109 (11th Cir. 2004)).  </w:t>
      </w:r>
      <w:r w:rsidR="002076D5" w:rsidRPr="002076D5">
        <w:rPr>
          <w:rFonts w:ascii="Times New Roman" w:hAnsi="Times New Roman" w:cs="Times New Roman"/>
          <w:i/>
          <w:sz w:val="24"/>
          <w:szCs w:val="24"/>
        </w:rPr>
        <w:t>See also Ga. Cas. &amp; Surety Co. v. Excalibur Reinsurance Corp.</w:t>
      </w:r>
      <w:r w:rsidR="002076D5" w:rsidRPr="002076D5">
        <w:rPr>
          <w:rFonts w:ascii="Times New Roman" w:hAnsi="Times New Roman" w:cs="Times New Roman"/>
          <w:sz w:val="24"/>
          <w:szCs w:val="24"/>
        </w:rPr>
        <w:t>, 4 F. Supp.3d 1362, 1372 (N.D. Ga. 2014) (Carnes, C.J.) (“[O]nce a court has determined that the parties have an agreement to arbitrate, procedural questions which grow out of the dispute and bear on its final disposition are presumptively not for the judge, but for an arbitrator, to decide.”).</w:t>
      </w:r>
    </w:p>
    <w:p w:rsidR="002076D5" w:rsidRDefault="002076D5" w:rsidP="002076D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For example, the courts of appeals have uniformly held that </w:t>
      </w:r>
      <w:r w:rsidRPr="002076D5">
        <w:rPr>
          <w:rFonts w:ascii="Times New Roman" w:hAnsi="Times New Roman" w:cs="Times New Roman"/>
          <w:sz w:val="24"/>
          <w:szCs w:val="24"/>
        </w:rPr>
        <w:t xml:space="preserve">“disputes over the interpretation of forum selection clauses in arbitration agreements raise presumptively arbitrable procedural questions.”  </w:t>
      </w:r>
      <w:r>
        <w:rPr>
          <w:rFonts w:ascii="Times New Roman" w:hAnsi="Times New Roman" w:cs="Times New Roman"/>
          <w:i/>
          <w:sz w:val="24"/>
          <w:szCs w:val="24"/>
        </w:rPr>
        <w:t>Bamberger Rosenheim</w:t>
      </w:r>
      <w:r>
        <w:rPr>
          <w:rFonts w:ascii="Times New Roman" w:hAnsi="Times New Roman" w:cs="Times New Roman"/>
          <w:sz w:val="24"/>
          <w:szCs w:val="24"/>
        </w:rPr>
        <w:t>, 862 F.3d at 1288</w:t>
      </w:r>
      <w:r w:rsidRPr="002076D5">
        <w:rPr>
          <w:rFonts w:ascii="Times New Roman" w:hAnsi="Times New Roman" w:cs="Times New Roman"/>
          <w:sz w:val="24"/>
          <w:szCs w:val="24"/>
        </w:rPr>
        <w:t xml:space="preserve"> (citing </w:t>
      </w:r>
      <w:r w:rsidRPr="002076D5">
        <w:rPr>
          <w:rFonts w:ascii="Times New Roman" w:hAnsi="Times New Roman" w:cs="Times New Roman"/>
          <w:i/>
          <w:sz w:val="24"/>
          <w:szCs w:val="24"/>
        </w:rPr>
        <w:t>UBS Fin. Servs., Inc. v. West Va. Univ. Hosps., Inc.</w:t>
      </w:r>
      <w:r w:rsidRPr="002076D5">
        <w:rPr>
          <w:rFonts w:ascii="Times New Roman" w:hAnsi="Times New Roman" w:cs="Times New Roman"/>
          <w:sz w:val="24"/>
          <w:szCs w:val="24"/>
        </w:rPr>
        <w:t xml:space="preserve">, 660 F.3d 643, 655 (2d Cir. 2011); </w:t>
      </w:r>
      <w:r w:rsidRPr="002076D5">
        <w:rPr>
          <w:rFonts w:ascii="Times New Roman" w:hAnsi="Times New Roman" w:cs="Times New Roman"/>
          <w:i/>
          <w:sz w:val="24"/>
          <w:szCs w:val="24"/>
        </w:rPr>
        <w:t>Cent. W. Va. Energy, Inc. v. Bayer Cropscience LP</w:t>
      </w:r>
      <w:r w:rsidRPr="002076D5">
        <w:rPr>
          <w:rFonts w:ascii="Times New Roman" w:hAnsi="Times New Roman" w:cs="Times New Roman"/>
          <w:sz w:val="24"/>
          <w:szCs w:val="24"/>
        </w:rPr>
        <w:t xml:space="preserve">, 645 F.3d 267, 273-74 (4th Cir. 2011); </w:t>
      </w:r>
      <w:r w:rsidRPr="002076D5">
        <w:rPr>
          <w:rFonts w:ascii="Times New Roman" w:hAnsi="Times New Roman" w:cs="Times New Roman"/>
          <w:i/>
          <w:sz w:val="24"/>
          <w:szCs w:val="24"/>
        </w:rPr>
        <w:t>Ridge at Red Hawk, L.L.C. v. Schneider</w:t>
      </w:r>
      <w:r w:rsidRPr="002076D5">
        <w:rPr>
          <w:rFonts w:ascii="Times New Roman" w:hAnsi="Times New Roman" w:cs="Times New Roman"/>
          <w:sz w:val="24"/>
          <w:szCs w:val="24"/>
        </w:rPr>
        <w:t xml:space="preserve">, 493 F.3d 1174, 1178 &amp; n.3 (10th Cir. 2007); </w:t>
      </w:r>
      <w:r w:rsidRPr="002076D5">
        <w:rPr>
          <w:rFonts w:ascii="Times New Roman" w:hAnsi="Times New Roman" w:cs="Times New Roman"/>
          <w:i/>
          <w:sz w:val="24"/>
          <w:szCs w:val="24"/>
        </w:rPr>
        <w:t>Richard C. Young &amp; Co., Ltd. v. Leventhal</w:t>
      </w:r>
      <w:r w:rsidRPr="002076D5">
        <w:rPr>
          <w:rFonts w:ascii="Times New Roman" w:hAnsi="Times New Roman" w:cs="Times New Roman"/>
          <w:sz w:val="24"/>
          <w:szCs w:val="24"/>
        </w:rPr>
        <w:t>, 389 F.3d 1, 5 (1st Cir. 2004)).</w:t>
      </w:r>
      <w:r w:rsidR="00555A91">
        <w:rPr>
          <w:rFonts w:ascii="Times New Roman" w:hAnsi="Times New Roman" w:cs="Times New Roman"/>
          <w:sz w:val="24"/>
          <w:szCs w:val="24"/>
        </w:rPr>
        <w:t xml:space="preserve">  “Such clauses determine </w:t>
      </w:r>
      <w:r w:rsidR="00555A91">
        <w:rPr>
          <w:rFonts w:ascii="Times New Roman" w:hAnsi="Times New Roman" w:cs="Times New Roman"/>
          <w:sz w:val="24"/>
          <w:szCs w:val="24"/>
          <w:u w:val="single"/>
        </w:rPr>
        <w:t>where</w:t>
      </w:r>
      <w:r w:rsidR="00CC193A">
        <w:rPr>
          <w:rFonts w:ascii="Times New Roman" w:hAnsi="Times New Roman" w:cs="Times New Roman"/>
          <w:sz w:val="24"/>
          <w:szCs w:val="24"/>
        </w:rPr>
        <w:t xml:space="preserve"> an</w:t>
      </w:r>
      <w:r w:rsidR="00555A91">
        <w:rPr>
          <w:rFonts w:ascii="Times New Roman" w:hAnsi="Times New Roman" w:cs="Times New Roman"/>
          <w:sz w:val="24"/>
          <w:szCs w:val="24"/>
        </w:rPr>
        <w:t xml:space="preserve"> arbitration is conducted, ‘not </w:t>
      </w:r>
      <w:r w:rsidR="00555A91">
        <w:rPr>
          <w:rFonts w:ascii="Times New Roman" w:hAnsi="Times New Roman" w:cs="Times New Roman"/>
          <w:sz w:val="24"/>
          <w:szCs w:val="24"/>
          <w:u w:val="single"/>
        </w:rPr>
        <w:t>whether</w:t>
      </w:r>
      <w:r w:rsidR="00555A91">
        <w:rPr>
          <w:rFonts w:ascii="Times New Roman" w:hAnsi="Times New Roman" w:cs="Times New Roman"/>
          <w:sz w:val="24"/>
          <w:szCs w:val="24"/>
        </w:rPr>
        <w:t xml:space="preserve"> there is a contractual duty to arbitrate at all.’”  </w:t>
      </w:r>
      <w:r w:rsidR="00555A91">
        <w:rPr>
          <w:rFonts w:ascii="Times New Roman" w:hAnsi="Times New Roman" w:cs="Times New Roman"/>
          <w:i/>
          <w:sz w:val="24"/>
          <w:szCs w:val="24"/>
        </w:rPr>
        <w:t>Bamberger Rosenheim</w:t>
      </w:r>
      <w:r w:rsidR="00555A91">
        <w:rPr>
          <w:rFonts w:ascii="Times New Roman" w:hAnsi="Times New Roman" w:cs="Times New Roman"/>
          <w:sz w:val="24"/>
          <w:szCs w:val="24"/>
        </w:rPr>
        <w:t xml:space="preserve">, 862 F.3d at 1288 (citing </w:t>
      </w:r>
      <w:r w:rsidR="00555A91">
        <w:rPr>
          <w:rFonts w:ascii="Times New Roman" w:hAnsi="Times New Roman" w:cs="Times New Roman"/>
          <w:i/>
          <w:sz w:val="24"/>
          <w:szCs w:val="24"/>
        </w:rPr>
        <w:t>BG Grp.</w:t>
      </w:r>
      <w:r w:rsidR="00555A91">
        <w:rPr>
          <w:rFonts w:ascii="Times New Roman" w:hAnsi="Times New Roman" w:cs="Times New Roman"/>
          <w:sz w:val="24"/>
          <w:szCs w:val="24"/>
        </w:rPr>
        <w:t xml:space="preserve">, 134 S. Ct. at 1207).  </w:t>
      </w:r>
      <w:r w:rsidR="00555A91" w:rsidRPr="00555A91">
        <w:rPr>
          <w:rFonts w:ascii="Times New Roman" w:hAnsi="Times New Roman" w:cs="Times New Roman"/>
          <w:i/>
          <w:sz w:val="24"/>
          <w:szCs w:val="24"/>
        </w:rPr>
        <w:t>Cf.</w:t>
      </w:r>
      <w:r w:rsidR="00555A91" w:rsidRPr="00555A91">
        <w:rPr>
          <w:rFonts w:ascii="Times New Roman" w:hAnsi="Times New Roman" w:cs="Times New Roman"/>
          <w:sz w:val="24"/>
          <w:szCs w:val="24"/>
        </w:rPr>
        <w:t xml:space="preserve"> </w:t>
      </w:r>
      <w:r w:rsidR="00555A91" w:rsidRPr="00555A91">
        <w:rPr>
          <w:rFonts w:ascii="Times New Roman" w:hAnsi="Times New Roman" w:cs="Times New Roman"/>
          <w:i/>
          <w:sz w:val="24"/>
          <w:szCs w:val="24"/>
        </w:rPr>
        <w:t>McCullagh v. Dean Witter Reynolds, Inc.</w:t>
      </w:r>
      <w:r w:rsidR="00555A91" w:rsidRPr="00555A91">
        <w:rPr>
          <w:rFonts w:ascii="Times New Roman" w:hAnsi="Times New Roman" w:cs="Times New Roman"/>
          <w:sz w:val="24"/>
          <w:szCs w:val="24"/>
        </w:rPr>
        <w:t>, 177 F.3d 1307, 1310 (11th Cir. 1999) (“The arbitrators would presumably enforce the venue-selection clause in precisely the same way that a court would.”).</w:t>
      </w:r>
    </w:p>
    <w:p w:rsidR="00555A91" w:rsidRDefault="00555A91" w:rsidP="002076D5">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2C7086">
        <w:rPr>
          <w:rFonts w:ascii="Times New Roman" w:hAnsi="Times New Roman" w:cs="Times New Roman"/>
          <w:b/>
          <w:sz w:val="24"/>
          <w:szCs w:val="24"/>
        </w:rPr>
        <w:t xml:space="preserve">Judicial Review </w:t>
      </w:r>
      <w:r w:rsidR="00A25354">
        <w:rPr>
          <w:rFonts w:ascii="Times New Roman" w:hAnsi="Times New Roman" w:cs="Times New Roman"/>
          <w:b/>
          <w:sz w:val="24"/>
          <w:szCs w:val="24"/>
        </w:rPr>
        <w:t>of</w:t>
      </w:r>
      <w:r w:rsidR="002C7086">
        <w:rPr>
          <w:rFonts w:ascii="Times New Roman" w:hAnsi="Times New Roman" w:cs="Times New Roman"/>
          <w:b/>
          <w:sz w:val="24"/>
          <w:szCs w:val="24"/>
        </w:rPr>
        <w:t xml:space="preserve"> Arbitrators’ Awards is Exceedingly Narrow.</w:t>
      </w:r>
    </w:p>
    <w:p w:rsidR="002C7086" w:rsidRPr="002C7086" w:rsidRDefault="002C7086" w:rsidP="002C708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Federal Arbitration Act (“FAA”) </w:t>
      </w:r>
      <w:r w:rsidRPr="002C7086">
        <w:rPr>
          <w:rFonts w:ascii="Times New Roman" w:hAnsi="Times New Roman" w:cs="Times New Roman"/>
          <w:sz w:val="24"/>
          <w:szCs w:val="24"/>
        </w:rPr>
        <w:t xml:space="preserve">“imposes a </w:t>
      </w:r>
      <w:r w:rsidRPr="002C7086">
        <w:rPr>
          <w:rFonts w:ascii="Times New Roman" w:hAnsi="Times New Roman" w:cs="Times New Roman"/>
          <w:sz w:val="24"/>
          <w:szCs w:val="24"/>
          <w:u w:val="single"/>
        </w:rPr>
        <w:t>heavy</w:t>
      </w:r>
      <w:r w:rsidRPr="002C7086">
        <w:rPr>
          <w:rFonts w:ascii="Times New Roman" w:hAnsi="Times New Roman" w:cs="Times New Roman"/>
          <w:sz w:val="24"/>
          <w:szCs w:val="24"/>
        </w:rPr>
        <w:t xml:space="preserve"> presumption in favor of confirming arbitration awards; therefore, a court’s confirmation of an arbitration award is usually routine or summary.”  </w:t>
      </w:r>
      <w:r w:rsidRPr="002C7086">
        <w:rPr>
          <w:rFonts w:ascii="Times New Roman" w:hAnsi="Times New Roman" w:cs="Times New Roman"/>
          <w:i/>
          <w:sz w:val="24"/>
          <w:szCs w:val="24"/>
        </w:rPr>
        <w:t>Cat Charter, LLC v. Schurtenberger</w:t>
      </w:r>
      <w:r w:rsidRPr="002C7086">
        <w:rPr>
          <w:rFonts w:ascii="Times New Roman" w:hAnsi="Times New Roman" w:cs="Times New Roman"/>
          <w:sz w:val="24"/>
          <w:szCs w:val="24"/>
        </w:rPr>
        <w:t xml:space="preserve">, 646 F.3d 836, 842 (11th Cir. 2011) (emphasis added).  Because of this presumption, “federal courts should defer to an arbitrator’s decision whenever possible.”  </w:t>
      </w:r>
      <w:r w:rsidRPr="002C7086">
        <w:rPr>
          <w:rFonts w:ascii="Times New Roman" w:hAnsi="Times New Roman" w:cs="Times New Roman"/>
          <w:i/>
          <w:sz w:val="24"/>
          <w:szCs w:val="24"/>
        </w:rPr>
        <w:t>Johnson v. Directory Assistants Inc.</w:t>
      </w:r>
      <w:r w:rsidRPr="002C7086">
        <w:rPr>
          <w:rFonts w:ascii="Times New Roman" w:hAnsi="Times New Roman" w:cs="Times New Roman"/>
          <w:sz w:val="24"/>
          <w:szCs w:val="24"/>
        </w:rPr>
        <w:t>, 797 F.3d 1294, 1299 (11th Cir. 2015).</w:t>
      </w:r>
    </w:p>
    <w:p w:rsidR="002C7086" w:rsidRDefault="002C7086" w:rsidP="002C7086">
      <w:pPr>
        <w:spacing w:line="360" w:lineRule="auto"/>
        <w:ind w:firstLine="720"/>
        <w:contextualSpacing/>
        <w:rPr>
          <w:rFonts w:ascii="Times New Roman" w:hAnsi="Times New Roman" w:cs="Times New Roman"/>
          <w:sz w:val="24"/>
          <w:szCs w:val="24"/>
        </w:rPr>
      </w:pPr>
      <w:r w:rsidRPr="002C7086">
        <w:rPr>
          <w:rFonts w:ascii="Times New Roman" w:hAnsi="Times New Roman" w:cs="Times New Roman"/>
          <w:sz w:val="24"/>
          <w:szCs w:val="24"/>
        </w:rPr>
        <w:t xml:space="preserve">Indeed, “judicial review of arbitration decisions is among the narrowest known to the law.”  </w:t>
      </w:r>
      <w:r w:rsidRPr="002C7086">
        <w:rPr>
          <w:rFonts w:ascii="Times New Roman" w:hAnsi="Times New Roman" w:cs="Times New Roman"/>
          <w:i/>
          <w:sz w:val="24"/>
          <w:szCs w:val="24"/>
        </w:rPr>
        <w:t>AIG Baker Sterling Heights, LLC v. Am. Multi-Cinema, Inc.</w:t>
      </w:r>
      <w:r w:rsidRPr="002C7086">
        <w:rPr>
          <w:rFonts w:ascii="Times New Roman" w:hAnsi="Times New Roman" w:cs="Times New Roman"/>
          <w:sz w:val="24"/>
          <w:szCs w:val="24"/>
        </w:rPr>
        <w:t xml:space="preserve">, 508 F.3d 995, 1001 (11th Cir. 2007) (citation and internal quotation marks omitted).  The review is narrow because “arbitrators do not act as junior varsity trial courts where subsequent appellate review is readily available to the losing party.”  </w:t>
      </w:r>
      <w:r w:rsidRPr="002C7086">
        <w:rPr>
          <w:rFonts w:ascii="Times New Roman" w:hAnsi="Times New Roman" w:cs="Times New Roman"/>
          <w:i/>
          <w:sz w:val="24"/>
          <w:szCs w:val="24"/>
        </w:rPr>
        <w:t>Cat Charter, LLC</w:t>
      </w:r>
      <w:r w:rsidRPr="002C7086">
        <w:rPr>
          <w:rFonts w:ascii="Times New Roman" w:hAnsi="Times New Roman" w:cs="Times New Roman"/>
          <w:sz w:val="24"/>
          <w:szCs w:val="24"/>
        </w:rPr>
        <w:t xml:space="preserve">, 646 F.3d at 843.  “The FAA does not allow courts to roam unbridled in their oversight of arbitration awards, but carefully limits judicial intervention to instances where the arbitration has been tainted in specified ways.”  </w:t>
      </w:r>
      <w:r w:rsidRPr="002C7086">
        <w:rPr>
          <w:rFonts w:ascii="Times New Roman" w:hAnsi="Times New Roman" w:cs="Times New Roman"/>
          <w:i/>
          <w:sz w:val="24"/>
          <w:szCs w:val="24"/>
        </w:rPr>
        <w:t>Davis v. Prudential Secs., Inc.</w:t>
      </w:r>
      <w:r w:rsidRPr="002C7086">
        <w:rPr>
          <w:rFonts w:ascii="Times New Roman" w:hAnsi="Times New Roman" w:cs="Times New Roman"/>
          <w:sz w:val="24"/>
          <w:szCs w:val="24"/>
        </w:rPr>
        <w:t>, 59 F.3d 1186, 1190 (11th Cir. 1995) (internal punctuation and citation omitted).</w:t>
      </w:r>
    </w:p>
    <w:p w:rsidR="002C7086" w:rsidRDefault="002C7086" w:rsidP="002C7086">
      <w:pPr>
        <w:spacing w:line="360" w:lineRule="auto"/>
        <w:ind w:firstLine="720"/>
        <w:contextualSpacing/>
        <w:rPr>
          <w:rFonts w:ascii="Times New Roman" w:hAnsi="Times New Roman" w:cs="Times New Roman"/>
          <w:sz w:val="24"/>
          <w:szCs w:val="24"/>
        </w:rPr>
      </w:pPr>
      <w:r w:rsidRPr="002C7086">
        <w:rPr>
          <w:rFonts w:ascii="Times New Roman" w:hAnsi="Times New Roman" w:cs="Times New Roman"/>
          <w:sz w:val="24"/>
          <w:szCs w:val="24"/>
        </w:rPr>
        <w:lastRenderedPageBreak/>
        <w:t xml:space="preserve">The FAA provides that a district court </w:t>
      </w:r>
      <w:r w:rsidRPr="002C7086">
        <w:rPr>
          <w:rFonts w:ascii="Times New Roman" w:hAnsi="Times New Roman" w:cs="Times New Roman"/>
          <w:sz w:val="24"/>
          <w:szCs w:val="24"/>
          <w:u w:val="single"/>
        </w:rPr>
        <w:t>must</w:t>
      </w:r>
      <w:r w:rsidRPr="002C7086">
        <w:rPr>
          <w:rFonts w:ascii="Times New Roman" w:hAnsi="Times New Roman" w:cs="Times New Roman"/>
          <w:sz w:val="24"/>
          <w:szCs w:val="24"/>
        </w:rPr>
        <w:t xml:space="preserve"> grant an order confirming an arbitration award unless the award is vacated, modified, or corrected under one of “the exceedingly narrow grounds” set forth in Sections 10</w:t>
      </w:r>
      <w:r w:rsidR="00CD76CC">
        <w:rPr>
          <w:rStyle w:val="FootnoteReference"/>
          <w:rFonts w:ascii="Times New Roman" w:hAnsi="Times New Roman" w:cs="Times New Roman"/>
          <w:sz w:val="24"/>
          <w:szCs w:val="24"/>
        </w:rPr>
        <w:footnoteReference w:id="2"/>
      </w:r>
      <w:r w:rsidRPr="002C7086">
        <w:rPr>
          <w:rFonts w:ascii="Times New Roman" w:hAnsi="Times New Roman" w:cs="Times New Roman"/>
          <w:sz w:val="24"/>
          <w:szCs w:val="24"/>
        </w:rPr>
        <w:t xml:space="preserve"> and 11 of the Act.  </w:t>
      </w:r>
      <w:r w:rsidRPr="002C7086">
        <w:rPr>
          <w:rFonts w:ascii="Times New Roman" w:hAnsi="Times New Roman" w:cs="Times New Roman"/>
          <w:i/>
          <w:sz w:val="24"/>
          <w:szCs w:val="24"/>
        </w:rPr>
        <w:t>S. Commc’ns Servs., Inc. v. Thomas</w:t>
      </w:r>
      <w:r w:rsidRPr="002C7086">
        <w:rPr>
          <w:rFonts w:ascii="Times New Roman" w:hAnsi="Times New Roman" w:cs="Times New Roman"/>
          <w:sz w:val="24"/>
          <w:szCs w:val="24"/>
        </w:rPr>
        <w:t xml:space="preserve">, 720 F.3d 1352, 1357 (11th Cir. 2013).  “These sections together give substance to a national policy favoring arbitration with just the limited review needed to maintain arbitration’s essential virtue of resolving disputes straightaway.”  </w:t>
      </w:r>
      <w:r w:rsidRPr="002C7086">
        <w:rPr>
          <w:rFonts w:ascii="Times New Roman" w:hAnsi="Times New Roman" w:cs="Times New Roman"/>
          <w:i/>
          <w:sz w:val="24"/>
          <w:szCs w:val="24"/>
        </w:rPr>
        <w:t>Id.</w:t>
      </w:r>
      <w:r w:rsidRPr="002C7086">
        <w:rPr>
          <w:rFonts w:ascii="Times New Roman" w:hAnsi="Times New Roman" w:cs="Times New Roman"/>
          <w:sz w:val="24"/>
          <w:szCs w:val="24"/>
        </w:rPr>
        <w:t xml:space="preserve"> at 1358 (citation and internal punctuation omitted).</w:t>
      </w:r>
    </w:p>
    <w:p w:rsidR="00D85BB5" w:rsidRDefault="002C7086" w:rsidP="002C7086">
      <w:pPr>
        <w:spacing w:line="360" w:lineRule="auto"/>
        <w:ind w:firstLine="720"/>
        <w:contextualSpacing/>
        <w:rPr>
          <w:rFonts w:ascii="Times New Roman" w:hAnsi="Times New Roman" w:cs="Times New Roman"/>
          <w:sz w:val="24"/>
          <w:szCs w:val="24"/>
        </w:rPr>
      </w:pPr>
      <w:r w:rsidRPr="002C7086">
        <w:rPr>
          <w:rFonts w:ascii="Times New Roman" w:hAnsi="Times New Roman" w:cs="Times New Roman"/>
          <w:sz w:val="24"/>
          <w:szCs w:val="24"/>
        </w:rPr>
        <w:t xml:space="preserve">A party seeking to have an arbitration award vacated under 9 U.S.C. § 10(a)(4) “bears a heavy burden.  It is not enough to show that the arbitrator committed an error – or even a serious error.”  </w:t>
      </w:r>
      <w:r w:rsidRPr="002C7086">
        <w:rPr>
          <w:rFonts w:ascii="Times New Roman" w:hAnsi="Times New Roman" w:cs="Times New Roman"/>
          <w:i/>
          <w:sz w:val="24"/>
          <w:szCs w:val="24"/>
        </w:rPr>
        <w:t>Oxford Health Plans LLC v. Sutter</w:t>
      </w:r>
      <w:r w:rsidRPr="002C7086">
        <w:rPr>
          <w:rFonts w:ascii="Times New Roman" w:hAnsi="Times New Roman" w:cs="Times New Roman"/>
          <w:sz w:val="24"/>
          <w:szCs w:val="24"/>
        </w:rPr>
        <w:t xml:space="preserve">, 133 S. Ct. 2064, 2068 (2013) (internal punctuation and citation omitted).  “Because the parties bargained for the </w:t>
      </w:r>
      <w:r w:rsidRPr="002C7086">
        <w:rPr>
          <w:rFonts w:ascii="Times New Roman" w:hAnsi="Times New Roman" w:cs="Times New Roman"/>
          <w:sz w:val="24"/>
          <w:szCs w:val="24"/>
        </w:rPr>
        <w:lastRenderedPageBreak/>
        <w:t xml:space="preserve">arbitrator’s construction of their agreement, an arbitral decision even arguably construing or applying the contract must stand, regardless of a court’s view of its (de)merits.”  </w:t>
      </w:r>
      <w:r w:rsidRPr="002C7086">
        <w:rPr>
          <w:rFonts w:ascii="Times New Roman" w:hAnsi="Times New Roman" w:cs="Times New Roman"/>
          <w:i/>
          <w:sz w:val="24"/>
          <w:szCs w:val="24"/>
        </w:rPr>
        <w:t>Id.</w:t>
      </w:r>
      <w:r w:rsidRPr="002C7086">
        <w:rPr>
          <w:rFonts w:ascii="Times New Roman" w:hAnsi="Times New Roman" w:cs="Times New Roman"/>
          <w:sz w:val="24"/>
          <w:szCs w:val="24"/>
        </w:rPr>
        <w:t xml:space="preserve"> (internal quotation marks and citation omitted).  “Only if the arbitrator acts outside the scope of his contractually delegated authority – issuing an award that simply reflects his own notions of economic justice rather than drawing its essence from the contract – may a court overturn his determination.”  </w:t>
      </w:r>
      <w:r w:rsidRPr="002C7086">
        <w:rPr>
          <w:rFonts w:ascii="Times New Roman" w:hAnsi="Times New Roman" w:cs="Times New Roman"/>
          <w:i/>
          <w:sz w:val="24"/>
          <w:szCs w:val="24"/>
        </w:rPr>
        <w:t>Id.</w:t>
      </w:r>
      <w:r w:rsidRPr="002C7086">
        <w:rPr>
          <w:rFonts w:ascii="Times New Roman" w:hAnsi="Times New Roman" w:cs="Times New Roman"/>
          <w:sz w:val="24"/>
          <w:szCs w:val="24"/>
        </w:rPr>
        <w:t xml:space="preserve"> (internal punc</w:t>
      </w:r>
      <w:r w:rsidR="00D85BB5">
        <w:rPr>
          <w:rFonts w:ascii="Times New Roman" w:hAnsi="Times New Roman" w:cs="Times New Roman"/>
          <w:sz w:val="24"/>
          <w:szCs w:val="24"/>
        </w:rPr>
        <w:t>tuation and citation omitted).</w:t>
      </w:r>
    </w:p>
    <w:p w:rsidR="002C7086" w:rsidRPr="00D85BB5" w:rsidRDefault="002C7086" w:rsidP="002C7086">
      <w:pPr>
        <w:spacing w:line="360" w:lineRule="auto"/>
        <w:ind w:firstLine="720"/>
        <w:contextualSpacing/>
        <w:rPr>
          <w:rFonts w:ascii="Times New Roman" w:hAnsi="Times New Roman" w:cs="Times New Roman"/>
          <w:sz w:val="24"/>
          <w:szCs w:val="24"/>
        </w:rPr>
      </w:pPr>
      <w:r w:rsidRPr="002C7086">
        <w:rPr>
          <w:rFonts w:ascii="Times New Roman" w:hAnsi="Times New Roman" w:cs="Times New Roman"/>
          <w:sz w:val="24"/>
          <w:szCs w:val="24"/>
        </w:rPr>
        <w:t>Thus, the sole question is “whether the arbitrator (even arguably) interpreted the parties’ contract, not whether he got its meaning right or wrong.”</w:t>
      </w:r>
      <w:r w:rsidR="000B013F">
        <w:rPr>
          <w:rStyle w:val="FootnoteReference"/>
          <w:rFonts w:ascii="Times New Roman" w:hAnsi="Times New Roman" w:cs="Times New Roman"/>
          <w:sz w:val="24"/>
          <w:szCs w:val="24"/>
        </w:rPr>
        <w:footnoteReference w:id="3"/>
      </w:r>
      <w:r w:rsidRPr="002C7086">
        <w:rPr>
          <w:rFonts w:ascii="Times New Roman" w:hAnsi="Times New Roman" w:cs="Times New Roman"/>
          <w:sz w:val="24"/>
          <w:szCs w:val="24"/>
        </w:rPr>
        <w:t xml:space="preserve">  </w:t>
      </w:r>
      <w:r w:rsidRPr="002C7086">
        <w:rPr>
          <w:rFonts w:ascii="Times New Roman" w:hAnsi="Times New Roman" w:cs="Times New Roman"/>
          <w:i/>
          <w:sz w:val="24"/>
          <w:szCs w:val="24"/>
        </w:rPr>
        <w:t>Id.</w:t>
      </w:r>
      <w:r w:rsidRPr="002C7086">
        <w:rPr>
          <w:rFonts w:ascii="Times New Roman" w:hAnsi="Times New Roman" w:cs="Times New Roman"/>
          <w:sz w:val="24"/>
          <w:szCs w:val="24"/>
        </w:rPr>
        <w:t xml:space="preserve">  </w:t>
      </w:r>
      <w:r w:rsidRPr="002C7086">
        <w:rPr>
          <w:rFonts w:ascii="Times New Roman" w:hAnsi="Times New Roman" w:cs="Times New Roman"/>
          <w:i/>
          <w:sz w:val="24"/>
          <w:szCs w:val="24"/>
        </w:rPr>
        <w:t>See also</w:t>
      </w:r>
      <w:r w:rsidRPr="002C7086">
        <w:rPr>
          <w:i/>
          <w:sz w:val="24"/>
          <w:szCs w:val="24"/>
        </w:rPr>
        <w:t xml:space="preserve"> </w:t>
      </w:r>
      <w:r w:rsidRPr="002C7086">
        <w:rPr>
          <w:rFonts w:ascii="Times New Roman" w:hAnsi="Times New Roman" w:cs="Times New Roman"/>
          <w:i/>
          <w:sz w:val="24"/>
          <w:szCs w:val="24"/>
        </w:rPr>
        <w:t>White Springs Agric. Chems., Inc. v. Glawson Inv. Corp.</w:t>
      </w:r>
      <w:r w:rsidRPr="002C7086">
        <w:rPr>
          <w:rFonts w:ascii="Times New Roman" w:hAnsi="Times New Roman" w:cs="Times New Roman"/>
          <w:sz w:val="24"/>
          <w:szCs w:val="24"/>
        </w:rPr>
        <w:t>, 660 F.3d 1277, 1280 (11th Cir. 2011) (holding that an arbitrator’s “incorrect legal conclusion is not grounds for vacating or modifying the award”).</w:t>
      </w:r>
      <w:r w:rsidR="00EF7EC0">
        <w:rPr>
          <w:rFonts w:ascii="Times New Roman" w:hAnsi="Times New Roman" w:cs="Times New Roman"/>
          <w:sz w:val="24"/>
          <w:szCs w:val="24"/>
        </w:rPr>
        <w:t xml:space="preserve">  </w:t>
      </w:r>
      <w:r w:rsidR="006C205D">
        <w:rPr>
          <w:rFonts w:ascii="Times New Roman" w:hAnsi="Times New Roman" w:cs="Times New Roman"/>
          <w:sz w:val="24"/>
          <w:szCs w:val="24"/>
        </w:rPr>
        <w:t xml:space="preserve">If the arbitrator’s reasoning shows that he “engaged in a textual analysis of the relevant terms” or “attempted to give meaning to express terms – or discover implied terms – based on extrinsic evidence of the parties’ intent,” that will ordinarily mean that the arbitrator engaged in interpretation of the contract, not modification of it.  </w:t>
      </w:r>
      <w:r w:rsidR="006C205D">
        <w:rPr>
          <w:rFonts w:ascii="Times New Roman" w:hAnsi="Times New Roman" w:cs="Times New Roman"/>
          <w:i/>
          <w:sz w:val="24"/>
          <w:szCs w:val="24"/>
        </w:rPr>
        <w:t>Original Appalachian Artworks, Inc. v. JAKKS Pacific, Inc.</w:t>
      </w:r>
      <w:r w:rsidR="006C205D">
        <w:rPr>
          <w:rFonts w:ascii="Times New Roman" w:hAnsi="Times New Roman" w:cs="Times New Roman"/>
          <w:sz w:val="24"/>
          <w:szCs w:val="24"/>
        </w:rPr>
        <w:t>, 718 Fed. App. 776, 785 (11th Cir. 2017) (quoting</w:t>
      </w:r>
      <w:r>
        <w:rPr>
          <w:rFonts w:ascii="Times New Roman" w:hAnsi="Times New Roman" w:cs="Times New Roman"/>
          <w:sz w:val="24"/>
          <w:szCs w:val="24"/>
        </w:rPr>
        <w:t xml:space="preserve"> </w:t>
      </w:r>
      <w:r w:rsidR="006C205D">
        <w:rPr>
          <w:rFonts w:ascii="Times New Roman" w:hAnsi="Times New Roman" w:cs="Times New Roman"/>
          <w:i/>
          <w:sz w:val="24"/>
          <w:szCs w:val="24"/>
        </w:rPr>
        <w:t>Wiregrass Metal Trades Council</w:t>
      </w:r>
      <w:r w:rsidR="00912583">
        <w:rPr>
          <w:rFonts w:ascii="Times New Roman" w:hAnsi="Times New Roman" w:cs="Times New Roman"/>
          <w:i/>
          <w:sz w:val="24"/>
          <w:szCs w:val="24"/>
        </w:rPr>
        <w:t xml:space="preserve"> AFL-CIO</w:t>
      </w:r>
      <w:r w:rsidR="006C205D">
        <w:rPr>
          <w:rFonts w:ascii="Times New Roman" w:hAnsi="Times New Roman" w:cs="Times New Roman"/>
          <w:i/>
          <w:sz w:val="24"/>
          <w:szCs w:val="24"/>
        </w:rPr>
        <w:t xml:space="preserve"> v. Shaw Env</w:t>
      </w:r>
      <w:r w:rsidR="00907640">
        <w:rPr>
          <w:rFonts w:ascii="Times New Roman" w:hAnsi="Times New Roman" w:cs="Times New Roman"/>
          <w:i/>
          <w:sz w:val="24"/>
          <w:szCs w:val="24"/>
        </w:rPr>
        <w:t>tl. &amp; Infrastructure, Inc.</w:t>
      </w:r>
      <w:r w:rsidR="00907640">
        <w:rPr>
          <w:rFonts w:ascii="Times New Roman" w:hAnsi="Times New Roman" w:cs="Times New Roman"/>
          <w:sz w:val="24"/>
          <w:szCs w:val="24"/>
        </w:rPr>
        <w:t>, 837 F.3d 1083, 1087 (11th Cir. 2016)).</w:t>
      </w:r>
      <w:r>
        <w:rPr>
          <w:rFonts w:ascii="Times New Roman" w:hAnsi="Times New Roman" w:cs="Times New Roman"/>
          <w:sz w:val="24"/>
          <w:szCs w:val="24"/>
        </w:rPr>
        <w:t xml:space="preserve"> “</w:t>
      </w:r>
      <w:r w:rsidRPr="002C7086">
        <w:rPr>
          <w:rFonts w:ascii="Times New Roman" w:hAnsi="Times New Roman" w:cs="Times New Roman"/>
          <w:sz w:val="24"/>
          <w:szCs w:val="24"/>
        </w:rPr>
        <w:t>The arbitrator’s construction holds, however good, bad, or ugly.”</w:t>
      </w:r>
      <w:r>
        <w:rPr>
          <w:rFonts w:ascii="Times New Roman" w:hAnsi="Times New Roman" w:cs="Times New Roman"/>
          <w:sz w:val="24"/>
          <w:szCs w:val="24"/>
        </w:rPr>
        <w:t xml:space="preserve">  </w:t>
      </w:r>
      <w:r>
        <w:rPr>
          <w:rFonts w:ascii="Times New Roman" w:hAnsi="Times New Roman" w:cs="Times New Roman"/>
          <w:i/>
          <w:sz w:val="24"/>
          <w:szCs w:val="24"/>
        </w:rPr>
        <w:t>Bamberger Rosenheim</w:t>
      </w:r>
      <w:r>
        <w:rPr>
          <w:rFonts w:ascii="Times New Roman" w:hAnsi="Times New Roman" w:cs="Times New Roman"/>
          <w:sz w:val="24"/>
          <w:szCs w:val="24"/>
        </w:rPr>
        <w:t xml:space="preserve">, 862 F.3d at 1288 (quoting </w:t>
      </w:r>
      <w:r>
        <w:rPr>
          <w:rFonts w:ascii="Times New Roman" w:hAnsi="Times New Roman" w:cs="Times New Roman"/>
          <w:i/>
          <w:sz w:val="24"/>
          <w:szCs w:val="24"/>
        </w:rPr>
        <w:t>Oxford Health Plans</w:t>
      </w:r>
      <w:r>
        <w:rPr>
          <w:rFonts w:ascii="Times New Roman" w:hAnsi="Times New Roman" w:cs="Times New Roman"/>
          <w:sz w:val="24"/>
          <w:szCs w:val="24"/>
        </w:rPr>
        <w:t>, 133 S. Ct. at 2071.</w:t>
      </w:r>
      <w:r w:rsidR="00D85BB5">
        <w:rPr>
          <w:rFonts w:ascii="Times New Roman" w:hAnsi="Times New Roman" w:cs="Times New Roman"/>
          <w:sz w:val="24"/>
          <w:szCs w:val="24"/>
        </w:rPr>
        <w:t xml:space="preserve">  </w:t>
      </w:r>
      <w:r w:rsidR="00D85BB5">
        <w:rPr>
          <w:rFonts w:ascii="Times New Roman" w:hAnsi="Times New Roman" w:cs="Times New Roman"/>
          <w:i/>
          <w:sz w:val="24"/>
          <w:szCs w:val="24"/>
        </w:rPr>
        <w:t>See also Wiregrass Metal Trades Council AFL-CIO</w:t>
      </w:r>
      <w:r w:rsidR="00D85BB5">
        <w:rPr>
          <w:rFonts w:ascii="Times New Roman" w:hAnsi="Times New Roman" w:cs="Times New Roman"/>
          <w:sz w:val="24"/>
          <w:szCs w:val="24"/>
        </w:rPr>
        <w:t>, 837 F.3d at 1088 (holding that if the court determines that the arbitrator interpreted the parties’ contract, the court’s inquiry must end).</w:t>
      </w:r>
    </w:p>
    <w:p w:rsidR="00A27D49" w:rsidRDefault="00A27D49" w:rsidP="00A27D49">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u w:val="single"/>
        </w:rPr>
        <w:t>Picking Your Battles: Claims Between Owners vs. Designers, vs. General</w:t>
      </w:r>
    </w:p>
    <w:p w:rsidR="00A27D49" w:rsidRDefault="00A27D49" w:rsidP="001B63D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Contractors, Subcontractors and Suppliers</w:t>
      </w:r>
    </w:p>
    <w:p w:rsidR="00A27D49" w:rsidRPr="009D6EC7" w:rsidRDefault="00571C31"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CB1B75">
        <w:rPr>
          <w:rFonts w:ascii="Times New Roman" w:hAnsi="Times New Roman" w:cs="Times New Roman"/>
          <w:sz w:val="24"/>
          <w:szCs w:val="24"/>
        </w:rPr>
        <w:t xml:space="preserve">In </w:t>
      </w:r>
      <w:r w:rsidR="00CB1B75">
        <w:rPr>
          <w:rFonts w:ascii="Times New Roman" w:hAnsi="Times New Roman" w:cs="Times New Roman"/>
          <w:i/>
          <w:sz w:val="24"/>
          <w:szCs w:val="24"/>
        </w:rPr>
        <w:t>Atlanta Truck Parts, Inc. v. Zenon &amp; Zenon Contractors, Inc.</w:t>
      </w:r>
      <w:r w:rsidR="00CB1B75">
        <w:rPr>
          <w:rFonts w:ascii="Times New Roman" w:hAnsi="Times New Roman" w:cs="Times New Roman"/>
          <w:sz w:val="24"/>
          <w:szCs w:val="24"/>
        </w:rPr>
        <w:t xml:space="preserve">, 345 Ga. App. 507 (2018), Atlanta Truck Parts entered into a contract with Zenon &amp; Zenon Contractors, </w:t>
      </w:r>
      <w:r w:rsidR="00CB1B75">
        <w:rPr>
          <w:rFonts w:ascii="Times New Roman" w:hAnsi="Times New Roman" w:cs="Times New Roman"/>
          <w:sz w:val="24"/>
          <w:szCs w:val="24"/>
        </w:rPr>
        <w:lastRenderedPageBreak/>
        <w:t xml:space="preserve">Inc., a demolition contractor, for it to complete the work necessary to prepare the Atlanta Truck Parts property to lease out space to park trucks.  At trial the owner of Zenon &amp; Zenon </w:t>
      </w:r>
      <w:r w:rsidR="00CB1B75" w:rsidRPr="009D6EC7">
        <w:rPr>
          <w:rFonts w:ascii="Times New Roman" w:hAnsi="Times New Roman" w:cs="Times New Roman"/>
          <w:color w:val="000000"/>
          <w:sz w:val="24"/>
          <w:szCs w:val="24"/>
        </w:rPr>
        <w:t>described the work he performed, testified that he completed all of the work in the proposal, and identified pictures of the property before and after the work was performed.</w:t>
      </w:r>
      <w:r w:rsidR="009D6EC7">
        <w:rPr>
          <w:rFonts w:ascii="Times New Roman" w:hAnsi="Times New Roman" w:cs="Times New Roman"/>
          <w:color w:val="000000"/>
          <w:sz w:val="24"/>
          <w:szCs w:val="24"/>
        </w:rPr>
        <w:t xml:space="preserve">  </w:t>
      </w:r>
      <w:r w:rsidR="009D6EC7">
        <w:rPr>
          <w:rFonts w:ascii="Times New Roman" w:hAnsi="Times New Roman" w:cs="Times New Roman"/>
          <w:i/>
          <w:color w:val="000000"/>
          <w:sz w:val="24"/>
          <w:szCs w:val="24"/>
        </w:rPr>
        <w:t>Id.</w:t>
      </w:r>
      <w:r w:rsidR="009D6EC7">
        <w:rPr>
          <w:rFonts w:ascii="Times New Roman" w:hAnsi="Times New Roman" w:cs="Times New Roman"/>
          <w:color w:val="000000"/>
          <w:sz w:val="24"/>
          <w:szCs w:val="24"/>
        </w:rPr>
        <w:t xml:space="preserve"> at 508.</w:t>
      </w:r>
      <w:r w:rsidR="00CB1B75" w:rsidRPr="009D6EC7">
        <w:rPr>
          <w:rFonts w:ascii="Times New Roman" w:hAnsi="Times New Roman" w:cs="Times New Roman"/>
          <w:color w:val="000000"/>
          <w:sz w:val="24"/>
          <w:szCs w:val="24"/>
        </w:rPr>
        <w:t xml:space="preserve"> Once</w:t>
      </w:r>
      <w:r w:rsidR="009D6EC7">
        <w:rPr>
          <w:rFonts w:ascii="Times New Roman" w:hAnsi="Times New Roman" w:cs="Times New Roman"/>
          <w:color w:val="000000"/>
          <w:sz w:val="24"/>
          <w:szCs w:val="24"/>
        </w:rPr>
        <w:t xml:space="preserve"> he had completed the job, Zenon &amp; Zenon</w:t>
      </w:r>
      <w:r w:rsidR="00CB1B75" w:rsidRPr="009D6EC7">
        <w:rPr>
          <w:rFonts w:ascii="Times New Roman" w:hAnsi="Times New Roman" w:cs="Times New Roman"/>
          <w:color w:val="000000"/>
          <w:sz w:val="24"/>
          <w:szCs w:val="24"/>
        </w:rPr>
        <w:t xml:space="preserve"> delivered an invoice to </w:t>
      </w:r>
      <w:r w:rsidR="009D6EC7">
        <w:rPr>
          <w:rFonts w:ascii="Times New Roman" w:hAnsi="Times New Roman" w:cs="Times New Roman"/>
          <w:color w:val="000000"/>
          <w:sz w:val="24"/>
          <w:szCs w:val="24"/>
        </w:rPr>
        <w:t>Atlanta Truck Parts</w:t>
      </w:r>
      <w:r w:rsidR="00CB1B75" w:rsidRPr="009D6EC7">
        <w:rPr>
          <w:rFonts w:ascii="Times New Roman" w:hAnsi="Times New Roman" w:cs="Times New Roman"/>
          <w:color w:val="000000"/>
          <w:sz w:val="24"/>
          <w:szCs w:val="24"/>
        </w:rPr>
        <w:t xml:space="preserve">. When Atlanta Truck Parts did not pay, </w:t>
      </w:r>
      <w:r w:rsidR="009D6EC7">
        <w:rPr>
          <w:rFonts w:ascii="Times New Roman" w:hAnsi="Times New Roman" w:cs="Times New Roman"/>
          <w:color w:val="000000"/>
          <w:sz w:val="24"/>
          <w:szCs w:val="24"/>
        </w:rPr>
        <w:t xml:space="preserve">Zenon &amp; Zenon filed suit for breach of contract.  </w:t>
      </w:r>
      <w:r w:rsidR="009D6EC7">
        <w:rPr>
          <w:rFonts w:ascii="Times New Roman" w:hAnsi="Times New Roman" w:cs="Times New Roman"/>
          <w:i/>
          <w:color w:val="000000"/>
          <w:sz w:val="24"/>
          <w:szCs w:val="24"/>
        </w:rPr>
        <w:t>Id.</w:t>
      </w:r>
      <w:r w:rsidR="009D6EC7">
        <w:rPr>
          <w:rFonts w:ascii="Times New Roman" w:hAnsi="Times New Roman" w:cs="Times New Roman"/>
          <w:color w:val="000000"/>
          <w:sz w:val="24"/>
          <w:szCs w:val="24"/>
        </w:rPr>
        <w:t xml:space="preserve">  After a bench trial, the trial court awarded Zenon &amp; Zenon $128,972.90.  </w:t>
      </w:r>
      <w:r w:rsidR="009D6EC7">
        <w:rPr>
          <w:rFonts w:ascii="Times New Roman" w:hAnsi="Times New Roman" w:cs="Times New Roman"/>
          <w:i/>
          <w:color w:val="000000"/>
          <w:sz w:val="24"/>
          <w:szCs w:val="24"/>
        </w:rPr>
        <w:t>Id.</w:t>
      </w:r>
      <w:r w:rsidR="009D6EC7">
        <w:rPr>
          <w:rFonts w:ascii="Times New Roman" w:hAnsi="Times New Roman" w:cs="Times New Roman"/>
          <w:color w:val="000000"/>
          <w:sz w:val="24"/>
          <w:szCs w:val="24"/>
        </w:rPr>
        <w:t xml:space="preserve"> at 507.</w:t>
      </w:r>
    </w:p>
    <w:p w:rsidR="009D6EC7" w:rsidRDefault="009D6EC7"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 appeal, </w:t>
      </w:r>
      <w:r w:rsidRPr="009D6EC7">
        <w:rPr>
          <w:rFonts w:ascii="Times New Roman" w:hAnsi="Times New Roman" w:cs="Times New Roman"/>
          <w:color w:val="000000"/>
          <w:sz w:val="24"/>
          <w:szCs w:val="24"/>
        </w:rPr>
        <w:t>Atlanta Truck Parts argue</w:t>
      </w:r>
      <w:r>
        <w:rPr>
          <w:rFonts w:ascii="Times New Roman" w:hAnsi="Times New Roman" w:cs="Times New Roman"/>
          <w:color w:val="000000"/>
          <w:sz w:val="24"/>
          <w:szCs w:val="24"/>
        </w:rPr>
        <w:t>d</w:t>
      </w:r>
      <w:r w:rsidRPr="009D6EC7">
        <w:rPr>
          <w:rFonts w:ascii="Times New Roman" w:hAnsi="Times New Roman" w:cs="Times New Roman"/>
          <w:color w:val="000000"/>
          <w:sz w:val="24"/>
          <w:szCs w:val="24"/>
        </w:rPr>
        <w:t xml:space="preserve"> that the trial court erred by awarding Zenon &amp; Zenon the full contract amount because the work was not completed, the work was deficient, and Zenon &amp; Zenon present</w:t>
      </w:r>
      <w:r>
        <w:rPr>
          <w:rFonts w:ascii="Times New Roman" w:hAnsi="Times New Roman" w:cs="Times New Roman"/>
          <w:color w:val="000000"/>
          <w:sz w:val="24"/>
          <w:szCs w:val="24"/>
        </w:rPr>
        <w:t xml:space="preserve">ed no receipts.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509.  But Zenon &amp; Zenon’s owner’s</w:t>
      </w:r>
      <w:r w:rsidRPr="009D6EC7">
        <w:rPr>
          <w:rFonts w:ascii="Times New Roman" w:hAnsi="Times New Roman" w:cs="Times New Roman"/>
          <w:color w:val="000000"/>
          <w:sz w:val="24"/>
          <w:szCs w:val="24"/>
        </w:rPr>
        <w:t xml:space="preserve"> testimony that he completed the work in accordance with the terms of the proposal </w:t>
      </w:r>
      <w:r>
        <w:rPr>
          <w:rFonts w:ascii="Times New Roman" w:hAnsi="Times New Roman" w:cs="Times New Roman"/>
          <w:color w:val="000000"/>
          <w:sz w:val="24"/>
          <w:szCs w:val="24"/>
        </w:rPr>
        <w:t>wa</w:t>
      </w:r>
      <w:r w:rsidRPr="009D6EC7">
        <w:rPr>
          <w:rFonts w:ascii="Times New Roman" w:hAnsi="Times New Roman" w:cs="Times New Roman"/>
          <w:color w:val="000000"/>
          <w:sz w:val="24"/>
          <w:szCs w:val="24"/>
        </w:rPr>
        <w:t>s some e</w:t>
      </w:r>
      <w:r>
        <w:rPr>
          <w:rFonts w:ascii="Times New Roman" w:hAnsi="Times New Roman" w:cs="Times New Roman"/>
          <w:color w:val="000000"/>
          <w:sz w:val="24"/>
          <w:szCs w:val="24"/>
        </w:rPr>
        <w:t xml:space="preserve">vidence to support the judgment, therefore requiring that the judgment be affirmed.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(citing </w:t>
      </w:r>
      <w:r>
        <w:rPr>
          <w:rFonts w:ascii="Times New Roman" w:hAnsi="Times New Roman" w:cs="Times New Roman"/>
          <w:i/>
          <w:color w:val="000000"/>
          <w:sz w:val="24"/>
          <w:szCs w:val="24"/>
        </w:rPr>
        <w:t>Broadcast Concepts v. Optimus Fin. Servs.</w:t>
      </w:r>
      <w:r>
        <w:rPr>
          <w:rFonts w:ascii="Times New Roman" w:hAnsi="Times New Roman" w:cs="Times New Roman"/>
          <w:color w:val="000000"/>
          <w:sz w:val="24"/>
          <w:szCs w:val="24"/>
        </w:rPr>
        <w:t>, 274 Ga. App. 632, 635-36 (2005)).</w:t>
      </w:r>
    </w:p>
    <w:p w:rsidR="001B63D9" w:rsidRDefault="001B63D9" w:rsidP="00256F95">
      <w:pPr>
        <w:widowControl w:val="0"/>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3402E9">
        <w:rPr>
          <w:rFonts w:ascii="Times New Roman" w:hAnsi="Times New Roman" w:cs="Times New Roman"/>
          <w:color w:val="000000"/>
          <w:sz w:val="24"/>
          <w:szCs w:val="24"/>
        </w:rPr>
        <w:t xml:space="preserve">In </w:t>
      </w:r>
      <w:r w:rsidR="003402E9">
        <w:rPr>
          <w:rFonts w:ascii="Times New Roman" w:hAnsi="Times New Roman" w:cs="Times New Roman"/>
          <w:i/>
          <w:color w:val="000000"/>
          <w:sz w:val="24"/>
          <w:szCs w:val="24"/>
        </w:rPr>
        <w:t>Baja Props., LLC v. Mattera</w:t>
      </w:r>
      <w:r w:rsidR="003402E9">
        <w:rPr>
          <w:rFonts w:ascii="Times New Roman" w:hAnsi="Times New Roman" w:cs="Times New Roman"/>
          <w:color w:val="000000"/>
          <w:sz w:val="24"/>
          <w:szCs w:val="24"/>
        </w:rPr>
        <w:t xml:space="preserve">, 345 Ga. App. 101 (2018), </w:t>
      </w:r>
      <w:r w:rsidR="00A2137B" w:rsidRPr="00A2137B">
        <w:rPr>
          <w:rFonts w:ascii="Times New Roman" w:hAnsi="Times New Roman" w:cs="Times New Roman"/>
          <w:color w:val="000000"/>
          <w:sz w:val="24"/>
          <w:szCs w:val="24"/>
        </w:rPr>
        <w:t>Baja Properties agreed to build a house for Ugo Mattera on land he and Kellie Mattera owned. Baja Properties completed some of the construction, but disputes developed</w:t>
      </w:r>
      <w:r w:rsidR="00A2137B">
        <w:rPr>
          <w:rFonts w:ascii="Times New Roman" w:hAnsi="Times New Roman" w:cs="Times New Roman"/>
          <w:color w:val="000000"/>
          <w:sz w:val="24"/>
          <w:szCs w:val="24"/>
        </w:rPr>
        <w:t>,</w:t>
      </w:r>
      <w:r w:rsidR="00A2137B" w:rsidRPr="00A2137B">
        <w:rPr>
          <w:rFonts w:ascii="Times New Roman" w:hAnsi="Times New Roman" w:cs="Times New Roman"/>
          <w:color w:val="000000"/>
          <w:sz w:val="24"/>
          <w:szCs w:val="24"/>
        </w:rPr>
        <w:t xml:space="preserve"> and Ugo Mattera terminated the contract before the house was completed. Stephen Golden</w:t>
      </w:r>
      <w:r w:rsidR="00C702BB">
        <w:rPr>
          <w:rFonts w:ascii="Times New Roman" w:hAnsi="Times New Roman" w:cs="Times New Roman"/>
          <w:color w:val="000000"/>
          <w:sz w:val="24"/>
          <w:szCs w:val="24"/>
        </w:rPr>
        <w:t>, the owner of Baja,</w:t>
      </w:r>
      <w:r w:rsidR="00A2137B" w:rsidRPr="00A2137B">
        <w:rPr>
          <w:rFonts w:ascii="Times New Roman" w:hAnsi="Times New Roman" w:cs="Times New Roman"/>
          <w:color w:val="000000"/>
          <w:sz w:val="24"/>
          <w:szCs w:val="24"/>
        </w:rPr>
        <w:t xml:space="preserve"> did not have a Georgia builder’s or contractor’s license when the parties entered into the contract or when the work was performed.  In February 2015, Baja Properties sued the Matteras for breach of contract, quantum meruit, and claim of lien. The Matteras answered the complaint and filed a counterclaim for breach of contract and negligence. </w:t>
      </w:r>
      <w:r w:rsidR="00C702BB">
        <w:rPr>
          <w:rFonts w:ascii="Times New Roman" w:hAnsi="Times New Roman" w:cs="Times New Roman"/>
          <w:color w:val="000000"/>
          <w:sz w:val="24"/>
          <w:szCs w:val="24"/>
        </w:rPr>
        <w:t xml:space="preserve"> </w:t>
      </w:r>
      <w:r w:rsidR="00A2137B" w:rsidRPr="00A2137B">
        <w:rPr>
          <w:rFonts w:ascii="Times New Roman" w:hAnsi="Times New Roman" w:cs="Times New Roman"/>
          <w:color w:val="000000"/>
          <w:sz w:val="24"/>
          <w:szCs w:val="24"/>
        </w:rPr>
        <w:t>Ugo Mattera then filed a separate action against Stephen Golden and James Golden (as alleged owners and/or managers of Baja Properties),</w:t>
      </w:r>
      <w:bookmarkStart w:id="0" w:name="co_footnoteReference_B00012043990979_ID0"/>
      <w:bookmarkEnd w:id="0"/>
      <w:r w:rsidR="00A2137B" w:rsidRPr="00A2137B">
        <w:rPr>
          <w:rFonts w:ascii="Times New Roman" w:hAnsi="Times New Roman" w:cs="Times New Roman"/>
          <w:color w:val="000000"/>
          <w:sz w:val="24"/>
          <w:szCs w:val="24"/>
        </w:rPr>
        <w:t xml:space="preserve"> asserting claims for negligence and fraud. The trial court consolidated the two cases.</w:t>
      </w:r>
    </w:p>
    <w:p w:rsidR="00236225" w:rsidRDefault="00236225" w:rsidP="00256F95">
      <w:pPr>
        <w:widowControl w:val="0"/>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ab/>
      </w:r>
      <w:r w:rsidRPr="00236225">
        <w:rPr>
          <w:rFonts w:ascii="Times New Roman" w:hAnsi="Times New Roman" w:cs="Times New Roman"/>
          <w:color w:val="000000"/>
          <w:sz w:val="24"/>
          <w:szCs w:val="24"/>
        </w:rPr>
        <w:t xml:space="preserve">The Matteras moved for summary judgment on Baja Properties’s claims against them, asserting that </w:t>
      </w:r>
      <w:r w:rsidRPr="00236225">
        <w:rPr>
          <w:rFonts w:ascii="Times New Roman" w:hAnsi="Times New Roman" w:cs="Times New Roman"/>
          <w:sz w:val="24"/>
          <w:szCs w:val="24"/>
        </w:rPr>
        <w:t>O</w:t>
      </w:r>
      <w:r>
        <w:rPr>
          <w:rFonts w:ascii="Times New Roman" w:hAnsi="Times New Roman" w:cs="Times New Roman"/>
          <w:sz w:val="24"/>
          <w:szCs w:val="24"/>
        </w:rPr>
        <w:t>.</w:t>
      </w:r>
      <w:r w:rsidRPr="00236225">
        <w:rPr>
          <w:rFonts w:ascii="Times New Roman" w:hAnsi="Times New Roman" w:cs="Times New Roman"/>
          <w:sz w:val="24"/>
          <w:szCs w:val="24"/>
        </w:rPr>
        <w:t>C</w:t>
      </w:r>
      <w:r>
        <w:rPr>
          <w:rFonts w:ascii="Times New Roman" w:hAnsi="Times New Roman" w:cs="Times New Roman"/>
          <w:sz w:val="24"/>
          <w:szCs w:val="24"/>
        </w:rPr>
        <w:t>.</w:t>
      </w:r>
      <w:r w:rsidRPr="00236225">
        <w:rPr>
          <w:rFonts w:ascii="Times New Roman" w:hAnsi="Times New Roman" w:cs="Times New Roman"/>
          <w:sz w:val="24"/>
          <w:szCs w:val="24"/>
        </w:rPr>
        <w:t>G</w:t>
      </w:r>
      <w:r>
        <w:rPr>
          <w:rFonts w:ascii="Times New Roman" w:hAnsi="Times New Roman" w:cs="Times New Roman"/>
          <w:sz w:val="24"/>
          <w:szCs w:val="24"/>
        </w:rPr>
        <w:t>.</w:t>
      </w:r>
      <w:r w:rsidRPr="00236225">
        <w:rPr>
          <w:rFonts w:ascii="Times New Roman" w:hAnsi="Times New Roman" w:cs="Times New Roman"/>
          <w:sz w:val="24"/>
          <w:szCs w:val="24"/>
        </w:rPr>
        <w:t>A</w:t>
      </w:r>
      <w:r>
        <w:rPr>
          <w:rFonts w:ascii="Times New Roman" w:hAnsi="Times New Roman" w:cs="Times New Roman"/>
          <w:sz w:val="24"/>
          <w:szCs w:val="24"/>
        </w:rPr>
        <w:t>.</w:t>
      </w:r>
      <w:r w:rsidRPr="00236225">
        <w:rPr>
          <w:rFonts w:ascii="Times New Roman" w:hAnsi="Times New Roman" w:cs="Times New Roman"/>
          <w:sz w:val="24"/>
          <w:szCs w:val="24"/>
        </w:rPr>
        <w:t xml:space="preserve"> § 43-41-17(b)</w:t>
      </w:r>
      <w:r w:rsidRPr="00236225">
        <w:rPr>
          <w:rFonts w:ascii="Times New Roman" w:hAnsi="Times New Roman" w:cs="Times New Roman"/>
          <w:color w:val="000000"/>
          <w:sz w:val="24"/>
          <w:szCs w:val="24"/>
        </w:rPr>
        <w:t xml:space="preserve"> bars an unlicensed contractor from enforcing in law or equity a contract for the performance of work for which a license is required. </w:t>
      </w:r>
      <w:r w:rsidRPr="00236225">
        <w:rPr>
          <w:rFonts w:ascii="Times New Roman" w:hAnsi="Times New Roman" w:cs="Times New Roman"/>
          <w:color w:val="000000"/>
          <w:sz w:val="24"/>
          <w:szCs w:val="24"/>
        </w:rPr>
        <w:lastRenderedPageBreak/>
        <w:t>The trial court granted the Matteras’ motion for summary judgment on all of Baja Properties’s claims, finding that the claims were barred by</w:t>
      </w:r>
      <w:r w:rsidR="00420346">
        <w:rPr>
          <w:rFonts w:ascii="Times New Roman" w:hAnsi="Times New Roman" w:cs="Times New Roman"/>
          <w:color w:val="000000"/>
          <w:sz w:val="24"/>
          <w:szCs w:val="24"/>
        </w:rPr>
        <w:t xml:space="preserve"> </w:t>
      </w:r>
      <w:r w:rsidR="00420346" w:rsidRPr="00236225">
        <w:rPr>
          <w:rFonts w:ascii="Times New Roman" w:hAnsi="Times New Roman" w:cs="Times New Roman"/>
          <w:sz w:val="24"/>
          <w:szCs w:val="24"/>
        </w:rPr>
        <w:t>O</w:t>
      </w:r>
      <w:r w:rsidR="00420346">
        <w:rPr>
          <w:rFonts w:ascii="Times New Roman" w:hAnsi="Times New Roman" w:cs="Times New Roman"/>
          <w:sz w:val="24"/>
          <w:szCs w:val="24"/>
        </w:rPr>
        <w:t>.</w:t>
      </w:r>
      <w:r w:rsidR="00420346" w:rsidRPr="00236225">
        <w:rPr>
          <w:rFonts w:ascii="Times New Roman" w:hAnsi="Times New Roman" w:cs="Times New Roman"/>
          <w:sz w:val="24"/>
          <w:szCs w:val="24"/>
        </w:rPr>
        <w:t>C</w:t>
      </w:r>
      <w:r w:rsidR="00420346">
        <w:rPr>
          <w:rFonts w:ascii="Times New Roman" w:hAnsi="Times New Roman" w:cs="Times New Roman"/>
          <w:sz w:val="24"/>
          <w:szCs w:val="24"/>
        </w:rPr>
        <w:t>.</w:t>
      </w:r>
      <w:r w:rsidR="00420346" w:rsidRPr="00236225">
        <w:rPr>
          <w:rFonts w:ascii="Times New Roman" w:hAnsi="Times New Roman" w:cs="Times New Roman"/>
          <w:sz w:val="24"/>
          <w:szCs w:val="24"/>
        </w:rPr>
        <w:t>G</w:t>
      </w:r>
      <w:r w:rsidR="00420346">
        <w:rPr>
          <w:rFonts w:ascii="Times New Roman" w:hAnsi="Times New Roman" w:cs="Times New Roman"/>
          <w:sz w:val="24"/>
          <w:szCs w:val="24"/>
        </w:rPr>
        <w:t>.</w:t>
      </w:r>
      <w:r w:rsidR="00420346" w:rsidRPr="00236225">
        <w:rPr>
          <w:rFonts w:ascii="Times New Roman" w:hAnsi="Times New Roman" w:cs="Times New Roman"/>
          <w:sz w:val="24"/>
          <w:szCs w:val="24"/>
        </w:rPr>
        <w:t>A</w:t>
      </w:r>
      <w:r w:rsidR="00420346">
        <w:rPr>
          <w:rFonts w:ascii="Times New Roman" w:hAnsi="Times New Roman" w:cs="Times New Roman"/>
          <w:sz w:val="24"/>
          <w:szCs w:val="24"/>
        </w:rPr>
        <w:t>.</w:t>
      </w:r>
      <w:r w:rsidR="00420346" w:rsidRPr="00236225">
        <w:rPr>
          <w:rFonts w:ascii="Times New Roman" w:hAnsi="Times New Roman" w:cs="Times New Roman"/>
          <w:sz w:val="24"/>
          <w:szCs w:val="24"/>
        </w:rPr>
        <w:t xml:space="preserve"> § 43-41-17(b)</w:t>
      </w:r>
      <w:r w:rsidR="00420346">
        <w:rPr>
          <w:rFonts w:ascii="Times New Roman" w:hAnsi="Times New Roman" w:cs="Times New Roman"/>
          <w:sz w:val="24"/>
          <w:szCs w:val="24"/>
        </w:rPr>
        <w:t>.</w:t>
      </w:r>
      <w:r w:rsidR="00C702BB">
        <w:rPr>
          <w:rFonts w:ascii="Times New Roman" w:hAnsi="Times New Roman" w:cs="Times New Roman"/>
          <w:sz w:val="24"/>
          <w:szCs w:val="24"/>
        </w:rPr>
        <w:t xml:space="preserve">  345 Ga. App. at 101.</w:t>
      </w:r>
    </w:p>
    <w:p w:rsidR="00420346" w:rsidRDefault="00420346" w:rsidP="00256F95">
      <w:pPr>
        <w:widowControl w:val="0"/>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sz w:val="24"/>
          <w:szCs w:val="24"/>
        </w:rPr>
        <w:tab/>
        <w:t xml:space="preserve">O.C.G.A. § 43-41-17(a) </w:t>
      </w:r>
      <w:r w:rsidRPr="00420346">
        <w:rPr>
          <w:rFonts w:ascii="Times New Roman" w:hAnsi="Times New Roman" w:cs="Times New Roman"/>
          <w:color w:val="000000"/>
          <w:sz w:val="24"/>
          <w:szCs w:val="20"/>
        </w:rPr>
        <w:t>provides, in pertinent part, that no person shall have the right to engage in the business of residential or general contracting without a current valid contractor license.</w:t>
      </w:r>
      <w:r w:rsidR="00C702BB">
        <w:rPr>
          <w:rFonts w:ascii="Times New Roman" w:hAnsi="Times New Roman" w:cs="Times New Roman"/>
          <w:color w:val="000000"/>
          <w:sz w:val="24"/>
          <w:szCs w:val="20"/>
        </w:rPr>
        <w:t xml:space="preserve">  O.C.G.A. § 43-41-17(b) provides:</w:t>
      </w:r>
    </w:p>
    <w:p w:rsidR="00C702BB" w:rsidRDefault="00C702BB" w:rsidP="00C702BB">
      <w:pPr>
        <w:autoSpaceDE w:val="0"/>
        <w:autoSpaceDN w:val="0"/>
        <w:adjustRightInd w:val="0"/>
        <w:spacing w:after="0" w:line="360" w:lineRule="auto"/>
        <w:ind w:left="720"/>
        <w:contextualSpacing/>
        <w:jc w:val="both"/>
        <w:rPr>
          <w:rFonts w:ascii="Times New Roman" w:hAnsi="Times New Roman" w:cs="Times New Roman"/>
          <w:color w:val="000000"/>
          <w:sz w:val="24"/>
          <w:szCs w:val="24"/>
        </w:rPr>
      </w:pPr>
      <w:r w:rsidRPr="00C702BB">
        <w:rPr>
          <w:rFonts w:ascii="Times New Roman" w:hAnsi="Times New Roman" w:cs="Times New Roman"/>
          <w:color w:val="000000"/>
          <w:sz w:val="24"/>
          <w:szCs w:val="24"/>
        </w:rPr>
        <w:t xml:space="preserve">As a matter of public policy, any contract entered into on or after July 1, 2008, for the performance of work for which a residential contractor or general contractor license is required by this chapter </w:t>
      </w:r>
      <w:r w:rsidRPr="00C702BB">
        <w:rPr>
          <w:rFonts w:ascii="Times New Roman" w:hAnsi="Times New Roman" w:cs="Times New Roman"/>
          <w:i/>
          <w:iCs/>
          <w:color w:val="000000"/>
          <w:sz w:val="24"/>
          <w:szCs w:val="24"/>
        </w:rPr>
        <w:t>and not otherwise exempted under this chapter</w:t>
      </w:r>
      <w:r w:rsidRPr="00C702BB">
        <w:rPr>
          <w:rFonts w:ascii="Times New Roman" w:hAnsi="Times New Roman" w:cs="Times New Roman"/>
          <w:color w:val="000000"/>
          <w:sz w:val="24"/>
          <w:szCs w:val="24"/>
        </w:rPr>
        <w:t xml:space="preserve"> and which is between an owner and a contractor who does not have a valid and current license required for such work in accordance with this chapter </w:t>
      </w:r>
      <w:r w:rsidRPr="00C702BB">
        <w:rPr>
          <w:rFonts w:ascii="Times New Roman" w:hAnsi="Times New Roman" w:cs="Times New Roman"/>
          <w:i/>
          <w:iCs/>
          <w:color w:val="000000"/>
          <w:sz w:val="24"/>
          <w:szCs w:val="24"/>
        </w:rPr>
        <w:t>shall be unenforceable in law or in equity by the unlicensed contractor</w:t>
      </w:r>
      <w:r w:rsidRPr="00C702BB">
        <w:rPr>
          <w:rFonts w:ascii="Times New Roman" w:hAnsi="Times New Roman" w:cs="Times New Roman"/>
          <w:color w:val="000000"/>
          <w:sz w:val="24"/>
          <w:szCs w:val="24"/>
        </w:rPr>
        <w:t xml:space="preserve">.... Notwithstanding any other provision of law to the contrary, </w:t>
      </w:r>
      <w:bookmarkStart w:id="1" w:name="co_pp_sp_360_103_1"/>
      <w:bookmarkEnd w:id="1"/>
      <w:r w:rsidRPr="00C702BB">
        <w:rPr>
          <w:rFonts w:ascii="Times New Roman" w:hAnsi="Times New Roman" w:cs="Times New Roman"/>
          <w:color w:val="000000"/>
          <w:sz w:val="24"/>
          <w:szCs w:val="24"/>
        </w:rPr>
        <w:t>if a contract is rendered unenforceable under this subsection, no lien or bond claim shall exist in favor of the unlicensed contractor for any labor, services, or materials provided under the contract or any amendment thereto....</w:t>
      </w:r>
    </w:p>
    <w:p w:rsidR="00C702BB" w:rsidRDefault="00C702BB" w:rsidP="00256F95">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345 Ga. App. at 102-03 (quoting O.C.G.A. § 43-41-17(b)) (emphasis in original).  “</w:t>
      </w:r>
      <w:r w:rsidRPr="00C702BB">
        <w:rPr>
          <w:rFonts w:ascii="Times New Roman" w:hAnsi="Times New Roman" w:cs="Times New Roman"/>
          <w:color w:val="000000"/>
          <w:sz w:val="24"/>
          <w:szCs w:val="24"/>
        </w:rPr>
        <w:t xml:space="preserve">It is undisputed that Baja Properties and </w:t>
      </w:r>
      <w:r>
        <w:rPr>
          <w:rFonts w:ascii="Times New Roman" w:hAnsi="Times New Roman" w:cs="Times New Roman"/>
          <w:color w:val="000000"/>
          <w:sz w:val="24"/>
          <w:szCs w:val="24"/>
        </w:rPr>
        <w:t>[its owners]</w:t>
      </w:r>
      <w:r w:rsidRPr="00C702BB">
        <w:rPr>
          <w:rFonts w:ascii="Times New Roman" w:hAnsi="Times New Roman" w:cs="Times New Roman"/>
          <w:color w:val="000000"/>
          <w:sz w:val="24"/>
          <w:szCs w:val="24"/>
        </w:rPr>
        <w:t xml:space="preserve"> did not have Georgia contractor’s licenses when the construction contract was executed and when the work was performed pursuant to the contract. The construction contract clearly identifies Baja Properties as the “Contractor” and Ugo Mattera as the “Owner” of the land on which the construction was to be completed. Thus, under O</w:t>
      </w:r>
      <w:r>
        <w:rPr>
          <w:rFonts w:ascii="Times New Roman" w:hAnsi="Times New Roman" w:cs="Times New Roman"/>
          <w:color w:val="000000"/>
          <w:sz w:val="24"/>
          <w:szCs w:val="24"/>
        </w:rPr>
        <w:t>.</w:t>
      </w:r>
      <w:r w:rsidRPr="00C702BB">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C702BB">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C702BB">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C702BB">
        <w:rPr>
          <w:rFonts w:ascii="Times New Roman" w:hAnsi="Times New Roman" w:cs="Times New Roman"/>
          <w:color w:val="000000"/>
          <w:sz w:val="24"/>
          <w:szCs w:val="24"/>
        </w:rPr>
        <w:t xml:space="preserve"> § 42-41-17(b), the construction contract is not enforceable by Baja Properties in law or in equity unless an exemption applies.</w:t>
      </w:r>
      <w:r w:rsidR="003000B4">
        <w:rPr>
          <w:rFonts w:ascii="Times New Roman" w:hAnsi="Times New Roman" w:cs="Times New Roman"/>
          <w:color w:val="000000"/>
          <w:sz w:val="24"/>
          <w:szCs w:val="24"/>
        </w:rPr>
        <w:t>”  345 Ga. App. at 103.</w:t>
      </w:r>
    </w:p>
    <w:p w:rsidR="003000B4" w:rsidRDefault="003000B4" w:rsidP="00A208A1">
      <w:pPr>
        <w:autoSpaceDE w:val="0"/>
        <w:autoSpaceDN w:val="0"/>
        <w:adjustRightInd w:val="0"/>
        <w:spacing w:after="0" w:line="360" w:lineRule="auto"/>
        <w:contextualSpacing/>
        <w:rPr>
          <w:rFonts w:ascii="Times New Roman" w:hAnsi="Times New Roman" w:cs="Times New Roman"/>
          <w:color w:val="212121"/>
          <w:sz w:val="24"/>
          <w:szCs w:val="24"/>
        </w:rPr>
      </w:pPr>
      <w:r w:rsidRPr="00A208A1">
        <w:rPr>
          <w:rFonts w:ascii="Times New Roman" w:hAnsi="Times New Roman" w:cs="Times New Roman"/>
          <w:color w:val="000000"/>
          <w:sz w:val="24"/>
          <w:szCs w:val="24"/>
        </w:rPr>
        <w:tab/>
      </w:r>
      <w:r w:rsidR="00256F95" w:rsidRPr="00A208A1">
        <w:rPr>
          <w:rFonts w:ascii="Times New Roman" w:hAnsi="Times New Roman" w:cs="Times New Roman"/>
          <w:color w:val="000000"/>
          <w:sz w:val="24"/>
          <w:szCs w:val="24"/>
        </w:rPr>
        <w:t xml:space="preserve">Baja argued it was exempted from the rule set out in O.C.G.A. § 42-41-17(b) by a provision in O.C.G.A. § 43-41-17(h).  </w:t>
      </w:r>
      <w:r w:rsidR="003C1AA9" w:rsidRPr="00A208A1">
        <w:rPr>
          <w:rFonts w:ascii="Times New Roman" w:hAnsi="Times New Roman" w:cs="Times New Roman"/>
          <w:color w:val="000000"/>
          <w:sz w:val="24"/>
          <w:szCs w:val="24"/>
        </w:rPr>
        <w:t xml:space="preserve">Subsection (h) provides: </w:t>
      </w:r>
      <w:r w:rsidR="00A208A1">
        <w:rPr>
          <w:rFonts w:ascii="Times New Roman" w:hAnsi="Times New Roman" w:cs="Times New Roman"/>
          <w:color w:val="000000"/>
          <w:sz w:val="24"/>
          <w:szCs w:val="24"/>
        </w:rPr>
        <w:t>“</w:t>
      </w:r>
      <w:r w:rsidR="00A208A1" w:rsidRPr="00A208A1">
        <w:rPr>
          <w:rFonts w:ascii="Times New Roman" w:hAnsi="Times New Roman" w:cs="Times New Roman"/>
          <w:color w:val="212121"/>
          <w:sz w:val="24"/>
          <w:szCs w:val="24"/>
        </w:rPr>
        <w:t xml:space="preserve">Nothing in this chapter shall preclude any person from constructing a building or structure on real property owned by such person which is intended upon completion for use or occupancy solely by that person and his or her family, firm, or corporation and its employees, and not for use </w:t>
      </w:r>
      <w:r w:rsidR="00A208A1" w:rsidRPr="00A208A1">
        <w:rPr>
          <w:rFonts w:ascii="Times New Roman" w:hAnsi="Times New Roman" w:cs="Times New Roman"/>
          <w:color w:val="212121"/>
          <w:sz w:val="24"/>
          <w:szCs w:val="24"/>
        </w:rPr>
        <w:lastRenderedPageBreak/>
        <w:t>by the general public and not offered for sale or lease. In so doing, such person may act as his or her own contractor personally providing direct supervision and management of all work not performed by licensed contractors....</w:t>
      </w:r>
      <w:r w:rsidR="00A208A1">
        <w:rPr>
          <w:rFonts w:ascii="Times New Roman" w:hAnsi="Times New Roman" w:cs="Times New Roman"/>
          <w:color w:val="212121"/>
          <w:sz w:val="24"/>
          <w:szCs w:val="24"/>
        </w:rPr>
        <w:t xml:space="preserve">”  </w:t>
      </w:r>
      <w:r w:rsidR="00A208A1" w:rsidRPr="009D43CF">
        <w:rPr>
          <w:rFonts w:ascii="Times New Roman" w:hAnsi="Times New Roman" w:cs="Times New Roman"/>
          <w:color w:val="212121"/>
          <w:sz w:val="24"/>
          <w:szCs w:val="24"/>
        </w:rPr>
        <w:t xml:space="preserve">Baja Properties argued that </w:t>
      </w:r>
      <w:r w:rsidR="00E856B9" w:rsidRPr="009D43CF">
        <w:rPr>
          <w:rFonts w:ascii="Times New Roman" w:hAnsi="Times New Roman" w:cs="Times New Roman"/>
          <w:color w:val="212121"/>
          <w:sz w:val="24"/>
          <w:szCs w:val="24"/>
        </w:rPr>
        <w:t>because subsection (h) permits a property owner to act as his own contractor and to use unlicensed contractors, the construction contract at the center of this dispute is “otherwise exempted” from the unenforceability provision of subsection (b).</w:t>
      </w:r>
      <w:r w:rsidR="009A7431">
        <w:rPr>
          <w:rFonts w:ascii="Times New Roman" w:hAnsi="Times New Roman" w:cs="Times New Roman"/>
          <w:color w:val="212121"/>
          <w:sz w:val="24"/>
          <w:szCs w:val="24"/>
        </w:rPr>
        <w:t xml:space="preserve">  345 Ga. App. at 103.</w:t>
      </w:r>
    </w:p>
    <w:p w:rsidR="003A4243" w:rsidRDefault="009A7431" w:rsidP="003A4243">
      <w:pPr>
        <w:autoSpaceDE w:val="0"/>
        <w:autoSpaceDN w:val="0"/>
        <w:adjustRightInd w:val="0"/>
        <w:spacing w:after="0" w:line="360" w:lineRule="auto"/>
        <w:contextualSpacing/>
        <w:rPr>
          <w:rFonts w:ascii="Times New Roman" w:hAnsi="Times New Roman" w:cs="Times New Roman"/>
          <w:color w:val="212121"/>
          <w:sz w:val="24"/>
          <w:szCs w:val="24"/>
        </w:rPr>
      </w:pPr>
      <w:r w:rsidRPr="009A7431">
        <w:rPr>
          <w:rFonts w:ascii="Times New Roman" w:hAnsi="Times New Roman" w:cs="Times New Roman"/>
          <w:color w:val="212121"/>
          <w:sz w:val="24"/>
          <w:szCs w:val="24"/>
        </w:rPr>
        <w:tab/>
        <w:t>The Court of Appeals, however, held that it must give the statute its plain and ordinary meaning, and subsection (h) does not provide that an unlicensed contractor is exempt from the rule that prohibits an unlicensed contractor from enforcing an agreement for the performance of work for which a license is required.</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w:t>
      </w:r>
      <w:r w:rsidRPr="009A7431">
        <w:rPr>
          <w:rFonts w:ascii="Times New Roman" w:hAnsi="Times New Roman" w:cs="Times New Roman"/>
          <w:color w:val="212121"/>
          <w:sz w:val="24"/>
          <w:szCs w:val="24"/>
        </w:rPr>
        <w:t xml:space="preserve">The court refused to </w:t>
      </w:r>
      <w:r>
        <w:rPr>
          <w:rFonts w:ascii="Times New Roman" w:hAnsi="Times New Roman" w:cs="Times New Roman"/>
          <w:color w:val="212121"/>
          <w:sz w:val="24"/>
          <w:szCs w:val="24"/>
        </w:rPr>
        <w:t>“i</w:t>
      </w:r>
      <w:r w:rsidRPr="009A7431">
        <w:rPr>
          <w:rFonts w:ascii="Times New Roman" w:hAnsi="Times New Roman" w:cs="Times New Roman"/>
          <w:color w:val="212121"/>
          <w:sz w:val="24"/>
          <w:szCs w:val="24"/>
        </w:rPr>
        <w:t xml:space="preserve">nterpret subsection (h) as allowing an unlicensed contractor to enforce a construction contract, when that subsection does not clearly provide such. Indeed, the general rule is that </w:t>
      </w:r>
      <w:r>
        <w:rPr>
          <w:rFonts w:ascii="Times New Roman" w:hAnsi="Times New Roman" w:cs="Times New Roman"/>
          <w:color w:val="212121"/>
          <w:sz w:val="24"/>
          <w:szCs w:val="24"/>
        </w:rPr>
        <w:t>‘</w:t>
      </w:r>
      <w:r w:rsidRPr="009A7431">
        <w:rPr>
          <w:rFonts w:ascii="Times New Roman" w:hAnsi="Times New Roman" w:cs="Times New Roman"/>
          <w:color w:val="212121"/>
          <w:sz w:val="24"/>
          <w:szCs w:val="24"/>
        </w:rPr>
        <w:t>[w]here a statute provides that persons proposing to engage in a certain business shall procure a license before being authorized to do so, ... contracts made in violation of such statute are void and unenforceable.</w:t>
      </w:r>
      <w:r>
        <w:rPr>
          <w:rFonts w:ascii="Times New Roman" w:hAnsi="Times New Roman" w:cs="Times New Roman"/>
          <w:color w:val="212121"/>
          <w:sz w:val="24"/>
          <w:szCs w:val="24"/>
        </w:rPr>
        <w:t>’</w:t>
      </w:r>
      <w:r w:rsidRPr="009A7431">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103-04 (quoting </w:t>
      </w:r>
      <w:r>
        <w:rPr>
          <w:rFonts w:ascii="Times New Roman" w:hAnsi="Times New Roman" w:cs="Times New Roman"/>
          <w:i/>
          <w:color w:val="212121"/>
          <w:sz w:val="24"/>
          <w:szCs w:val="24"/>
        </w:rPr>
        <w:t>Brantley Land &amp; Timber, LLC v. W &amp; D Investments, Inc.</w:t>
      </w:r>
      <w:r>
        <w:rPr>
          <w:rFonts w:ascii="Times New Roman" w:hAnsi="Times New Roman" w:cs="Times New Roman"/>
          <w:color w:val="212121"/>
          <w:sz w:val="24"/>
          <w:szCs w:val="24"/>
        </w:rPr>
        <w:t>, 316 Ga. App. 277, 278 (2012))</w:t>
      </w:r>
      <w:r w:rsidR="003A4243">
        <w:rPr>
          <w:rFonts w:ascii="Times New Roman" w:hAnsi="Times New Roman" w:cs="Times New Roman"/>
          <w:color w:val="212121"/>
          <w:sz w:val="24"/>
          <w:szCs w:val="24"/>
        </w:rPr>
        <w:t>.  Thus, the trial court did not err by granting summary judgment to the Matteras on Baja Properties’ claims for breach of contract, quantum meruit, and lien.</w:t>
      </w:r>
    </w:p>
    <w:p w:rsidR="00764D5F" w:rsidRDefault="00764D5F"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212121"/>
          <w:sz w:val="24"/>
          <w:szCs w:val="24"/>
        </w:rPr>
        <w:tab/>
        <w:t xml:space="preserve">In </w:t>
      </w:r>
      <w:r>
        <w:rPr>
          <w:rFonts w:ascii="Times New Roman" w:hAnsi="Times New Roman" w:cs="Times New Roman"/>
          <w:i/>
          <w:color w:val="212121"/>
          <w:sz w:val="24"/>
          <w:szCs w:val="24"/>
        </w:rPr>
        <w:t>Restor-It, Inc. v. Beck</w:t>
      </w:r>
      <w:r>
        <w:rPr>
          <w:rFonts w:ascii="Times New Roman" w:hAnsi="Times New Roman" w:cs="Times New Roman"/>
          <w:color w:val="212121"/>
          <w:sz w:val="24"/>
          <w:szCs w:val="24"/>
        </w:rPr>
        <w:t xml:space="preserve">, 352 Ga. App. 613 (2019), </w:t>
      </w:r>
      <w:r w:rsidR="00FB6A03" w:rsidRPr="00FB6A03">
        <w:rPr>
          <w:rFonts w:ascii="Times New Roman" w:hAnsi="Times New Roman" w:cs="Times New Roman"/>
          <w:color w:val="000000"/>
          <w:sz w:val="24"/>
          <w:szCs w:val="20"/>
        </w:rPr>
        <w:t xml:space="preserve">Beck contacted Restor-It to provide an estimate for the repair and gut-renovation of a master bathroom, dryer vent repair, and installation of hardwood flooring. Restor-It </w:t>
      </w:r>
      <w:r w:rsidR="00FB6A03">
        <w:rPr>
          <w:rFonts w:ascii="Times New Roman" w:hAnsi="Times New Roman" w:cs="Times New Roman"/>
          <w:color w:val="000000"/>
          <w:sz w:val="24"/>
          <w:szCs w:val="20"/>
        </w:rPr>
        <w:t xml:space="preserve">was </w:t>
      </w:r>
      <w:r w:rsidR="00FB6A03" w:rsidRPr="00FB6A03">
        <w:rPr>
          <w:rFonts w:ascii="Times New Roman" w:hAnsi="Times New Roman" w:cs="Times New Roman"/>
          <w:color w:val="000000"/>
          <w:sz w:val="24"/>
          <w:szCs w:val="20"/>
        </w:rPr>
        <w:t>not a licensed general or residential contractor and only h</w:t>
      </w:r>
      <w:r w:rsidR="00FB6A03">
        <w:rPr>
          <w:rFonts w:ascii="Times New Roman" w:hAnsi="Times New Roman" w:cs="Times New Roman"/>
          <w:color w:val="000000"/>
          <w:sz w:val="24"/>
          <w:szCs w:val="20"/>
        </w:rPr>
        <w:t>eld</w:t>
      </w:r>
      <w:r w:rsidR="00FB6A03" w:rsidRPr="00FB6A03">
        <w:rPr>
          <w:rFonts w:ascii="Times New Roman" w:hAnsi="Times New Roman" w:cs="Times New Roman"/>
          <w:color w:val="000000"/>
          <w:sz w:val="24"/>
          <w:szCs w:val="20"/>
        </w:rPr>
        <w:t xml:space="preserve"> a business license.</w:t>
      </w:r>
      <w:r w:rsidR="00FB6A03">
        <w:rPr>
          <w:rFonts w:ascii="Times New Roman" w:hAnsi="Times New Roman" w:cs="Times New Roman"/>
          <w:color w:val="000000"/>
          <w:sz w:val="24"/>
          <w:szCs w:val="20"/>
        </w:rPr>
        <w:t xml:space="preserve">  </w:t>
      </w:r>
      <w:r w:rsidR="00FB6A03">
        <w:rPr>
          <w:rFonts w:ascii="Times New Roman" w:hAnsi="Times New Roman" w:cs="Times New Roman"/>
          <w:i/>
          <w:color w:val="000000"/>
          <w:sz w:val="24"/>
          <w:szCs w:val="20"/>
        </w:rPr>
        <w:t>Id.</w:t>
      </w:r>
      <w:r w:rsidR="00FB6A03">
        <w:rPr>
          <w:rFonts w:ascii="Times New Roman" w:hAnsi="Times New Roman" w:cs="Times New Roman"/>
          <w:color w:val="000000"/>
          <w:sz w:val="24"/>
          <w:szCs w:val="20"/>
        </w:rPr>
        <w:t xml:space="preserve"> at 613.</w:t>
      </w:r>
      <w:r w:rsidR="006747ED">
        <w:rPr>
          <w:rFonts w:ascii="Times New Roman" w:hAnsi="Times New Roman" w:cs="Times New Roman"/>
          <w:color w:val="000000"/>
          <w:sz w:val="24"/>
          <w:szCs w:val="20"/>
        </w:rPr>
        <w:t xml:space="preserve">  </w:t>
      </w:r>
      <w:r w:rsidR="006747ED" w:rsidRPr="006747ED">
        <w:rPr>
          <w:rFonts w:ascii="Times New Roman" w:hAnsi="Times New Roman" w:cs="Times New Roman"/>
          <w:color w:val="000000"/>
          <w:sz w:val="24"/>
          <w:szCs w:val="20"/>
        </w:rPr>
        <w:t>Beck signed a cont</w:t>
      </w:r>
      <w:r w:rsidR="003B297C">
        <w:rPr>
          <w:rFonts w:ascii="Times New Roman" w:hAnsi="Times New Roman" w:cs="Times New Roman"/>
          <w:color w:val="000000"/>
          <w:sz w:val="24"/>
          <w:szCs w:val="20"/>
        </w:rPr>
        <w:t>r</w:t>
      </w:r>
      <w:r w:rsidR="006747ED" w:rsidRPr="006747ED">
        <w:rPr>
          <w:rFonts w:ascii="Times New Roman" w:hAnsi="Times New Roman" w:cs="Times New Roman"/>
          <w:color w:val="000000"/>
          <w:sz w:val="24"/>
          <w:szCs w:val="20"/>
        </w:rPr>
        <w:t>act with Restor-It for the bathroom renovation and construction, as well as other items.</w:t>
      </w:r>
      <w:r w:rsidR="006747ED">
        <w:rPr>
          <w:rFonts w:ascii="Times New Roman" w:hAnsi="Times New Roman" w:cs="Times New Roman"/>
          <w:color w:val="000000"/>
          <w:sz w:val="24"/>
          <w:szCs w:val="20"/>
        </w:rPr>
        <w:t xml:space="preserve">  </w:t>
      </w:r>
      <w:r w:rsidR="006747ED">
        <w:rPr>
          <w:rFonts w:ascii="Times New Roman" w:hAnsi="Times New Roman" w:cs="Times New Roman"/>
          <w:i/>
          <w:color w:val="000000"/>
          <w:sz w:val="24"/>
          <w:szCs w:val="20"/>
        </w:rPr>
        <w:t>Id.</w:t>
      </w:r>
      <w:r w:rsidR="006747ED">
        <w:rPr>
          <w:rFonts w:ascii="Times New Roman" w:hAnsi="Times New Roman" w:cs="Times New Roman"/>
          <w:color w:val="000000"/>
          <w:sz w:val="24"/>
          <w:szCs w:val="20"/>
        </w:rPr>
        <w:t xml:space="preserve"> </w:t>
      </w:r>
      <w:r w:rsidR="006747ED" w:rsidRPr="006747ED">
        <w:rPr>
          <w:rFonts w:ascii="Times New Roman" w:hAnsi="Times New Roman" w:cs="Times New Roman"/>
          <w:color w:val="000000"/>
          <w:sz w:val="24"/>
          <w:szCs w:val="20"/>
        </w:rPr>
        <w:t xml:space="preserve"> The agreement stated that Restor-It was “Fully Licensed and Insured.”</w:t>
      </w:r>
      <w:r w:rsidR="006747ED">
        <w:rPr>
          <w:rFonts w:ascii="Times New Roman" w:hAnsi="Times New Roman" w:cs="Times New Roman"/>
          <w:color w:val="000000"/>
          <w:sz w:val="24"/>
          <w:szCs w:val="20"/>
        </w:rPr>
        <w:t xml:space="preserve">  </w:t>
      </w:r>
      <w:r w:rsidR="006747ED">
        <w:rPr>
          <w:rFonts w:ascii="Times New Roman" w:hAnsi="Times New Roman" w:cs="Times New Roman"/>
          <w:i/>
          <w:color w:val="000000"/>
          <w:sz w:val="24"/>
          <w:szCs w:val="20"/>
        </w:rPr>
        <w:t>Id.</w:t>
      </w:r>
      <w:r w:rsidR="006747ED">
        <w:rPr>
          <w:rFonts w:ascii="Times New Roman" w:hAnsi="Times New Roman" w:cs="Times New Roman"/>
          <w:color w:val="000000"/>
          <w:sz w:val="24"/>
          <w:szCs w:val="20"/>
        </w:rPr>
        <w:t xml:space="preserve"> </w:t>
      </w:r>
      <w:r w:rsidR="006747ED" w:rsidRPr="006747ED">
        <w:rPr>
          <w:rFonts w:ascii="Times New Roman" w:hAnsi="Times New Roman" w:cs="Times New Roman"/>
          <w:color w:val="000000"/>
          <w:sz w:val="24"/>
          <w:szCs w:val="20"/>
        </w:rPr>
        <w:t xml:space="preserve"> The estimate for the job totaled $23,545.16, and Beck made a down payment of $11,700.</w:t>
      </w:r>
      <w:r w:rsidR="006747ED">
        <w:rPr>
          <w:rFonts w:ascii="Times New Roman" w:hAnsi="Times New Roman" w:cs="Times New Roman"/>
          <w:color w:val="000000"/>
          <w:sz w:val="24"/>
          <w:szCs w:val="20"/>
        </w:rPr>
        <w:t xml:space="preserve">  </w:t>
      </w:r>
      <w:r w:rsidR="006747ED">
        <w:rPr>
          <w:rFonts w:ascii="Times New Roman" w:hAnsi="Times New Roman" w:cs="Times New Roman"/>
          <w:i/>
          <w:color w:val="000000"/>
          <w:sz w:val="24"/>
          <w:szCs w:val="20"/>
        </w:rPr>
        <w:t>Id.</w:t>
      </w:r>
      <w:r w:rsidR="006747ED">
        <w:rPr>
          <w:rFonts w:ascii="Times New Roman" w:hAnsi="Times New Roman" w:cs="Times New Roman"/>
          <w:color w:val="000000"/>
          <w:sz w:val="24"/>
          <w:szCs w:val="20"/>
        </w:rPr>
        <w:t xml:space="preserve"> </w:t>
      </w:r>
      <w:r w:rsidR="006747ED" w:rsidRPr="006747ED">
        <w:rPr>
          <w:rFonts w:ascii="Times New Roman" w:hAnsi="Times New Roman" w:cs="Times New Roman"/>
          <w:color w:val="000000"/>
          <w:sz w:val="24"/>
          <w:szCs w:val="20"/>
        </w:rPr>
        <w:t xml:space="preserve"> The invoice recapped the job by category and indicated that 2.12% of the total job consisted of electrical work and 18.74% of the job consisted of plumbing work.</w:t>
      </w:r>
      <w:r w:rsidR="006747ED">
        <w:rPr>
          <w:rFonts w:ascii="Times New Roman" w:hAnsi="Times New Roman" w:cs="Times New Roman"/>
          <w:color w:val="000000"/>
          <w:sz w:val="24"/>
          <w:szCs w:val="20"/>
        </w:rPr>
        <w:t xml:space="preserve">  </w:t>
      </w:r>
      <w:r w:rsidR="006747ED">
        <w:rPr>
          <w:rFonts w:ascii="Times New Roman" w:hAnsi="Times New Roman" w:cs="Times New Roman"/>
          <w:i/>
          <w:color w:val="000000"/>
          <w:sz w:val="24"/>
          <w:szCs w:val="20"/>
        </w:rPr>
        <w:t>Id.</w:t>
      </w:r>
    </w:p>
    <w:p w:rsidR="006747ED" w:rsidRDefault="006747ED"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r>
      <w:r w:rsidRPr="006747ED">
        <w:rPr>
          <w:rFonts w:ascii="Times New Roman" w:hAnsi="Times New Roman" w:cs="Times New Roman"/>
          <w:color w:val="000000"/>
          <w:sz w:val="24"/>
          <w:szCs w:val="20"/>
        </w:rPr>
        <w:t xml:space="preserve">Restor-It ultimately abandoned the project following a leak that led to severe flooding </w:t>
      </w:r>
      <w:bookmarkStart w:id="2" w:name="co_pp_sp_711_401_1"/>
      <w:bookmarkEnd w:id="2"/>
      <w:r>
        <w:rPr>
          <w:rFonts w:ascii="Times New Roman" w:hAnsi="Times New Roman" w:cs="Times New Roman"/>
          <w:color w:val="000000"/>
          <w:sz w:val="24"/>
          <w:szCs w:val="20"/>
        </w:rPr>
        <w:t>d</w:t>
      </w:r>
      <w:r w:rsidRPr="006747ED">
        <w:rPr>
          <w:rFonts w:ascii="Times New Roman" w:hAnsi="Times New Roman" w:cs="Times New Roman"/>
          <w:color w:val="000000"/>
          <w:sz w:val="24"/>
          <w:szCs w:val="20"/>
        </w:rPr>
        <w:t>amage.</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614. </w:t>
      </w:r>
      <w:r w:rsidRPr="006747ED">
        <w:rPr>
          <w:rFonts w:ascii="Times New Roman" w:hAnsi="Times New Roman" w:cs="Times New Roman"/>
          <w:color w:val="000000"/>
          <w:sz w:val="24"/>
          <w:szCs w:val="20"/>
        </w:rPr>
        <w:t xml:space="preserve"> Asserting it performed additional duties outside the </w:t>
      </w:r>
      <w:r w:rsidRPr="006747ED">
        <w:rPr>
          <w:rFonts w:ascii="Times New Roman" w:hAnsi="Times New Roman" w:cs="Times New Roman"/>
          <w:color w:val="000000"/>
          <w:sz w:val="24"/>
          <w:szCs w:val="20"/>
        </w:rPr>
        <w:lastRenderedPageBreak/>
        <w:t>contract in an effort to mitigate the water damage, Restor-It provided Beck with a final invoice for services totaling $44,891.66.</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sidRPr="006747ED">
        <w:rPr>
          <w:rFonts w:ascii="Times New Roman" w:hAnsi="Times New Roman" w:cs="Times New Roman"/>
          <w:color w:val="000000"/>
          <w:sz w:val="24"/>
          <w:szCs w:val="20"/>
        </w:rPr>
        <w:t xml:space="preserve"> The recap of job categories on this invoice indicated that 2.50% of the total job was dedicated to electrical work and 14.36% of the total job was dedicated to plumbing work.</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p>
    <w:p w:rsidR="006747ED" w:rsidRDefault="006747ED"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r>
      <w:r w:rsidRPr="006747ED">
        <w:rPr>
          <w:rFonts w:ascii="Times New Roman" w:hAnsi="Times New Roman" w:cs="Times New Roman"/>
          <w:color w:val="000000"/>
          <w:sz w:val="24"/>
          <w:szCs w:val="20"/>
        </w:rPr>
        <w:t>Restor-It sued Beck, seeking to recover the difference between its final invoice and the down payment made by Beck ($33,191.66), pre- and post-judgment interest, and attorney fees.</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w:t>
      </w:r>
      <w:r w:rsidRPr="006747ED">
        <w:rPr>
          <w:rFonts w:ascii="Times New Roman" w:hAnsi="Times New Roman" w:cs="Times New Roman"/>
          <w:color w:val="000000"/>
          <w:sz w:val="24"/>
          <w:szCs w:val="20"/>
        </w:rPr>
        <w:t xml:space="preserve"> Beck subsequently moved for summary judgment, claiming she was not liable because Restor-It did not possess the licenses required under Georgia law for the work it performed, therefore making the contract void and unenforceable.</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sidRPr="006747ED">
        <w:rPr>
          <w:rFonts w:ascii="Times New Roman" w:hAnsi="Times New Roman" w:cs="Times New Roman"/>
          <w:color w:val="000000"/>
          <w:sz w:val="24"/>
          <w:szCs w:val="20"/>
        </w:rPr>
        <w:t xml:space="preserve"> Restor-It argued that it was acting as a specialty contractor, exempt from </w:t>
      </w:r>
      <w:r w:rsidR="003B297C">
        <w:rPr>
          <w:rFonts w:ascii="Times New Roman" w:hAnsi="Times New Roman" w:cs="Times New Roman"/>
          <w:color w:val="000000"/>
          <w:sz w:val="24"/>
          <w:szCs w:val="20"/>
        </w:rPr>
        <w:t xml:space="preserve">the </w:t>
      </w:r>
      <w:r w:rsidRPr="006747ED">
        <w:rPr>
          <w:rFonts w:ascii="Times New Roman" w:hAnsi="Times New Roman" w:cs="Times New Roman"/>
          <w:color w:val="000000"/>
          <w:sz w:val="24"/>
          <w:szCs w:val="20"/>
        </w:rPr>
        <w:t>licensing requirements</w:t>
      </w:r>
      <w:r w:rsidR="003B297C">
        <w:rPr>
          <w:rFonts w:ascii="Times New Roman" w:hAnsi="Times New Roman" w:cs="Times New Roman"/>
          <w:color w:val="000000"/>
          <w:sz w:val="24"/>
          <w:szCs w:val="20"/>
        </w:rPr>
        <w:t xml:space="preserve"> asserted to apply by Beck</w:t>
      </w:r>
      <w:r w:rsidRPr="006747ED">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w:t>
      </w:r>
      <w:r w:rsidRPr="006747ED">
        <w:rPr>
          <w:rFonts w:ascii="Times New Roman" w:hAnsi="Times New Roman" w:cs="Times New Roman"/>
          <w:color w:val="000000"/>
          <w:sz w:val="24"/>
          <w:szCs w:val="20"/>
        </w:rPr>
        <w:t xml:space="preserve"> The trial court granted Beck’s motion for summary judgment</w:t>
      </w:r>
      <w:r>
        <w:rPr>
          <w:rFonts w:ascii="Times New Roman" w:hAnsi="Times New Roman" w:cs="Times New Roman"/>
          <w:color w:val="000000"/>
          <w:sz w:val="24"/>
          <w:szCs w:val="20"/>
        </w:rPr>
        <w:t xml:space="preserve">, and Restor-It appealed.  </w:t>
      </w:r>
      <w:r>
        <w:rPr>
          <w:rFonts w:ascii="Times New Roman" w:hAnsi="Times New Roman" w:cs="Times New Roman"/>
          <w:i/>
          <w:color w:val="000000"/>
          <w:sz w:val="24"/>
          <w:szCs w:val="20"/>
        </w:rPr>
        <w:t>Id.</w:t>
      </w:r>
    </w:p>
    <w:p w:rsidR="006747ED" w:rsidRDefault="006747ED"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r>
      <w:r w:rsidR="00D7194A">
        <w:rPr>
          <w:rFonts w:ascii="Times New Roman" w:hAnsi="Times New Roman" w:cs="Times New Roman"/>
          <w:color w:val="000000"/>
          <w:sz w:val="24"/>
          <w:szCs w:val="20"/>
        </w:rPr>
        <w:t xml:space="preserve">Restor-It admitted that it did not possess a general contractor license but argued that it acted as a “specialty contractor” in the services it performed for Beck.  </w:t>
      </w:r>
      <w:r w:rsidR="00D7194A">
        <w:rPr>
          <w:rFonts w:ascii="Times New Roman" w:hAnsi="Times New Roman" w:cs="Times New Roman"/>
          <w:i/>
          <w:color w:val="000000"/>
          <w:sz w:val="24"/>
          <w:szCs w:val="20"/>
        </w:rPr>
        <w:t>Id.</w:t>
      </w:r>
      <w:r w:rsidR="00D7194A">
        <w:rPr>
          <w:rFonts w:ascii="Times New Roman" w:hAnsi="Times New Roman" w:cs="Times New Roman"/>
          <w:color w:val="000000"/>
          <w:sz w:val="24"/>
          <w:szCs w:val="20"/>
        </w:rPr>
        <w:t xml:space="preserve"> at 616.  A “specialty contractor” is defined as “</w:t>
      </w:r>
      <w:r w:rsidR="00D7194A" w:rsidRPr="00D7194A">
        <w:rPr>
          <w:rFonts w:ascii="Times New Roman" w:hAnsi="Times New Roman" w:cs="Times New Roman"/>
          <w:color w:val="000000"/>
          <w:sz w:val="24"/>
          <w:szCs w:val="20"/>
        </w:rPr>
        <w:t>a contractor whose scope of work and responsibility is of limited scope dealing with only a specific trade and directly related and ancillary work and whose performance is limited to such specialty construction work requiring special skill and requiring specialized building trades or crafts, including, but not limited to, such activities, work, or services requiring licensure under Chapter 14 of this title.</w:t>
      </w:r>
      <w:r w:rsidR="003B297C">
        <w:rPr>
          <w:rFonts w:ascii="Times New Roman" w:hAnsi="Times New Roman" w:cs="Times New Roman"/>
          <w:color w:val="000000"/>
          <w:sz w:val="24"/>
          <w:szCs w:val="20"/>
        </w:rPr>
        <w:t>”</w:t>
      </w:r>
      <w:r w:rsidR="00D7194A">
        <w:rPr>
          <w:rFonts w:ascii="Times New Roman" w:hAnsi="Times New Roman" w:cs="Times New Roman"/>
          <w:color w:val="000000"/>
          <w:sz w:val="24"/>
          <w:szCs w:val="20"/>
        </w:rPr>
        <w:t xml:space="preserve">  </w:t>
      </w:r>
      <w:r w:rsidR="00D7194A">
        <w:rPr>
          <w:rFonts w:ascii="Times New Roman" w:hAnsi="Times New Roman" w:cs="Times New Roman"/>
          <w:i/>
          <w:color w:val="000000"/>
          <w:sz w:val="24"/>
          <w:szCs w:val="20"/>
        </w:rPr>
        <w:t>Id.</w:t>
      </w:r>
      <w:r w:rsidR="00D7194A">
        <w:rPr>
          <w:rFonts w:ascii="Times New Roman" w:hAnsi="Times New Roman" w:cs="Times New Roman"/>
          <w:color w:val="000000"/>
          <w:sz w:val="24"/>
          <w:szCs w:val="20"/>
        </w:rPr>
        <w:t xml:space="preserve"> (quoting O.C.G.A. § 43-41-2(2)).  </w:t>
      </w:r>
      <w:r w:rsidR="001B509D">
        <w:rPr>
          <w:rFonts w:ascii="Times New Roman" w:hAnsi="Times New Roman" w:cs="Times New Roman"/>
          <w:color w:val="000000"/>
          <w:sz w:val="24"/>
          <w:szCs w:val="20"/>
        </w:rPr>
        <w:t>O.C.G.A. § 43-41-17(f) exempts a specialty contractor from the general contractor licensing requirement where “</w:t>
      </w:r>
      <w:r w:rsidR="001B509D" w:rsidRPr="001B509D">
        <w:rPr>
          <w:rFonts w:ascii="Times New Roman" w:hAnsi="Times New Roman" w:cs="Times New Roman"/>
          <w:color w:val="000000"/>
          <w:sz w:val="24"/>
          <w:szCs w:val="20"/>
        </w:rPr>
        <w:t xml:space="preserve">the total scope of the work to be performed is predominantly of the type for which such specialty contractor is duly recognized as exempt under this subsection by the board, provided that such other work </w:t>
      </w:r>
      <w:bookmarkStart w:id="3" w:name="co_pp_sp_360_617_1"/>
      <w:bookmarkEnd w:id="3"/>
      <w:r w:rsidR="001B509D" w:rsidRPr="001B509D">
        <w:rPr>
          <w:rFonts w:ascii="Times New Roman" w:hAnsi="Times New Roman" w:cs="Times New Roman"/>
          <w:color w:val="000000"/>
          <w:sz w:val="24"/>
          <w:szCs w:val="20"/>
        </w:rPr>
        <w:t>involved is incidental to and an integral part of the exempt work performed by the specialty contractor and does not exceed the greater of $10,000.00 or 25 percent of the total value at the time of contracting of the work to be performed.</w:t>
      </w:r>
      <w:r w:rsidR="001B509D">
        <w:rPr>
          <w:rFonts w:ascii="Times New Roman" w:hAnsi="Times New Roman" w:cs="Times New Roman"/>
          <w:color w:val="000000"/>
          <w:sz w:val="24"/>
          <w:szCs w:val="20"/>
        </w:rPr>
        <w:t xml:space="preserve">”  </w:t>
      </w:r>
      <w:r w:rsidR="001B509D">
        <w:rPr>
          <w:rFonts w:ascii="Times New Roman" w:hAnsi="Times New Roman" w:cs="Times New Roman"/>
          <w:i/>
          <w:color w:val="000000"/>
          <w:sz w:val="24"/>
          <w:szCs w:val="20"/>
        </w:rPr>
        <w:t>Id.</w:t>
      </w:r>
      <w:r w:rsidR="001B509D">
        <w:rPr>
          <w:rFonts w:ascii="Times New Roman" w:hAnsi="Times New Roman" w:cs="Times New Roman"/>
          <w:color w:val="000000"/>
          <w:sz w:val="24"/>
          <w:szCs w:val="20"/>
        </w:rPr>
        <w:t xml:space="preserve"> at 616-17.  Georgia law provides that no person shall engage in electrical contracting or plumbing without being licensed in those respective fields.  </w:t>
      </w:r>
      <w:r w:rsidR="001B509D">
        <w:rPr>
          <w:rFonts w:ascii="Times New Roman" w:hAnsi="Times New Roman" w:cs="Times New Roman"/>
          <w:i/>
          <w:color w:val="000000"/>
          <w:sz w:val="24"/>
          <w:szCs w:val="20"/>
        </w:rPr>
        <w:t>Id.</w:t>
      </w:r>
      <w:r w:rsidR="001B509D">
        <w:rPr>
          <w:rFonts w:ascii="Times New Roman" w:hAnsi="Times New Roman" w:cs="Times New Roman"/>
          <w:color w:val="000000"/>
          <w:sz w:val="24"/>
          <w:szCs w:val="20"/>
        </w:rPr>
        <w:t xml:space="preserve"> at 617.</w:t>
      </w:r>
    </w:p>
    <w:p w:rsidR="001B509D" w:rsidRDefault="001B509D"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ab/>
      </w:r>
      <w:r w:rsidR="009979FE">
        <w:rPr>
          <w:rFonts w:ascii="Times New Roman" w:hAnsi="Times New Roman" w:cs="Times New Roman"/>
          <w:color w:val="000000"/>
          <w:sz w:val="24"/>
          <w:szCs w:val="20"/>
        </w:rPr>
        <w:t xml:space="preserve">The estimates given by Restor-IT to Beck listed extensive electrical and plumbing work, and Restor-IT admitted that it was hired to perform and did perform those services.  </w:t>
      </w:r>
      <w:r w:rsidR="009979FE">
        <w:rPr>
          <w:rFonts w:ascii="Times New Roman" w:hAnsi="Times New Roman" w:cs="Times New Roman"/>
          <w:i/>
          <w:color w:val="000000"/>
          <w:sz w:val="24"/>
          <w:szCs w:val="20"/>
        </w:rPr>
        <w:t>Id.</w:t>
      </w:r>
      <w:r w:rsidR="009979FE">
        <w:rPr>
          <w:rFonts w:ascii="Times New Roman" w:hAnsi="Times New Roman" w:cs="Times New Roman"/>
          <w:color w:val="000000"/>
          <w:sz w:val="24"/>
          <w:szCs w:val="20"/>
        </w:rPr>
        <w:t xml:space="preserve"> at 618.  </w:t>
      </w:r>
      <w:r w:rsidR="00004EF8">
        <w:rPr>
          <w:rFonts w:ascii="Times New Roman" w:hAnsi="Times New Roman" w:cs="Times New Roman"/>
          <w:color w:val="000000"/>
          <w:sz w:val="24"/>
          <w:szCs w:val="20"/>
        </w:rPr>
        <w:t>Restor-IT “</w:t>
      </w:r>
      <w:r w:rsidR="00004EF8" w:rsidRPr="00004EF8">
        <w:rPr>
          <w:rFonts w:ascii="Times New Roman" w:hAnsi="Times New Roman" w:cs="Times New Roman"/>
          <w:color w:val="000000"/>
          <w:sz w:val="24"/>
          <w:szCs w:val="20"/>
        </w:rPr>
        <w:t xml:space="preserve">presented no evidence that it held a valid license to perform this electrical and plumbing work. Thus, it </w:t>
      </w:r>
      <w:r w:rsidR="00004EF8">
        <w:rPr>
          <w:rFonts w:ascii="Times New Roman" w:hAnsi="Times New Roman" w:cs="Times New Roman"/>
          <w:color w:val="000000"/>
          <w:sz w:val="24"/>
          <w:szCs w:val="20"/>
        </w:rPr>
        <w:t>[was]</w:t>
      </w:r>
      <w:r w:rsidR="00004EF8" w:rsidRPr="00004EF8">
        <w:rPr>
          <w:rFonts w:ascii="Times New Roman" w:hAnsi="Times New Roman" w:cs="Times New Roman"/>
          <w:color w:val="000000"/>
          <w:sz w:val="24"/>
          <w:szCs w:val="20"/>
        </w:rPr>
        <w:t xml:space="preserve"> of no </w:t>
      </w:r>
      <w:r w:rsidR="00004EF8">
        <w:rPr>
          <w:rFonts w:ascii="Times New Roman" w:hAnsi="Times New Roman" w:cs="Times New Roman"/>
          <w:color w:val="000000"/>
          <w:sz w:val="24"/>
          <w:szCs w:val="20"/>
        </w:rPr>
        <w:t>consequence whether Restor-It [was]</w:t>
      </w:r>
      <w:r w:rsidR="00004EF8" w:rsidRPr="00004EF8">
        <w:rPr>
          <w:rFonts w:ascii="Times New Roman" w:hAnsi="Times New Roman" w:cs="Times New Roman"/>
          <w:color w:val="000000"/>
          <w:sz w:val="24"/>
          <w:szCs w:val="20"/>
        </w:rPr>
        <w:t xml:space="preserve"> a general contractor or a specialty contractor. The contract with Beck required substantial electrical and plumbing work, and neither a general contractor nor a specialty contractor can perform such work without an electrical or plumbing license.</w:t>
      </w:r>
      <w:r w:rsidR="00004EF8">
        <w:rPr>
          <w:rFonts w:ascii="Times New Roman" w:hAnsi="Times New Roman" w:cs="Times New Roman"/>
          <w:color w:val="000000"/>
          <w:sz w:val="24"/>
          <w:szCs w:val="20"/>
        </w:rPr>
        <w:t xml:space="preserve">”  </w:t>
      </w:r>
      <w:r w:rsidR="00004EF8">
        <w:rPr>
          <w:rFonts w:ascii="Times New Roman" w:hAnsi="Times New Roman" w:cs="Times New Roman"/>
          <w:i/>
          <w:color w:val="000000"/>
          <w:sz w:val="24"/>
          <w:szCs w:val="20"/>
        </w:rPr>
        <w:t>Id.</w:t>
      </w:r>
      <w:r w:rsidR="00004EF8">
        <w:rPr>
          <w:rFonts w:ascii="Times New Roman" w:hAnsi="Times New Roman" w:cs="Times New Roman"/>
          <w:color w:val="000000"/>
          <w:sz w:val="24"/>
          <w:szCs w:val="20"/>
        </w:rPr>
        <w:t xml:space="preserve"> (citing O.C.G.A. § 43-14-8).</w:t>
      </w:r>
    </w:p>
    <w:p w:rsidR="00004EF8" w:rsidRDefault="00004EF8"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 xml:space="preserve">A specialty contractor is prohibited from performing any electrical or plumbing work without a license; the fact that a majority of the work performed by Restor-IT involved work which required no license is irrelevant, the law does not provide an exemption for de minimis amounts of electrical or plumbing work.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619.  </w:t>
      </w:r>
      <w:r w:rsidR="00FC59A2">
        <w:rPr>
          <w:rFonts w:ascii="Times New Roman" w:hAnsi="Times New Roman" w:cs="Times New Roman"/>
          <w:color w:val="000000"/>
          <w:sz w:val="24"/>
          <w:szCs w:val="20"/>
        </w:rPr>
        <w:t>“</w:t>
      </w:r>
      <w:r w:rsidR="00FC59A2" w:rsidRPr="00FC59A2">
        <w:rPr>
          <w:rFonts w:ascii="Times New Roman" w:hAnsi="Times New Roman" w:cs="Times New Roman"/>
          <w:color w:val="000000"/>
          <w:sz w:val="24"/>
          <w:szCs w:val="20"/>
        </w:rPr>
        <w:t>The trial court properly determined that no question of material fact exist</w:t>
      </w:r>
      <w:r w:rsidR="00FC59A2">
        <w:rPr>
          <w:rFonts w:ascii="Times New Roman" w:hAnsi="Times New Roman" w:cs="Times New Roman"/>
          <w:color w:val="000000"/>
          <w:sz w:val="24"/>
          <w:szCs w:val="20"/>
        </w:rPr>
        <w:t>[ed]</w:t>
      </w:r>
      <w:r w:rsidR="00FC59A2" w:rsidRPr="00FC59A2">
        <w:rPr>
          <w:rFonts w:ascii="Times New Roman" w:hAnsi="Times New Roman" w:cs="Times New Roman"/>
          <w:color w:val="000000"/>
          <w:sz w:val="24"/>
          <w:szCs w:val="20"/>
        </w:rPr>
        <w:t xml:space="preserve"> for a jury. Indeed, because Restor-It performed electrical and plumbing work without a license, the contract </w:t>
      </w:r>
      <w:r w:rsidR="00FC59A2">
        <w:rPr>
          <w:rFonts w:ascii="Times New Roman" w:hAnsi="Times New Roman" w:cs="Times New Roman"/>
          <w:color w:val="000000"/>
          <w:sz w:val="24"/>
          <w:szCs w:val="20"/>
        </w:rPr>
        <w:t>[was]</w:t>
      </w:r>
      <w:r w:rsidR="00FC59A2" w:rsidRPr="00FC59A2">
        <w:rPr>
          <w:rFonts w:ascii="Times New Roman" w:hAnsi="Times New Roman" w:cs="Times New Roman"/>
          <w:color w:val="000000"/>
          <w:sz w:val="24"/>
          <w:szCs w:val="20"/>
        </w:rPr>
        <w:t xml:space="preserve"> unenforceable so as to protect the public, regardless of the amount of electrical or plumbing work performed. This was a question of law that did not require a jury to determine an analysis of the work performed or its value.</w:t>
      </w:r>
      <w:r w:rsidR="00FC59A2">
        <w:rPr>
          <w:rFonts w:ascii="Times New Roman" w:hAnsi="Times New Roman" w:cs="Times New Roman"/>
          <w:color w:val="000000"/>
          <w:sz w:val="24"/>
          <w:szCs w:val="20"/>
        </w:rPr>
        <w:t xml:space="preserve">”  </w:t>
      </w:r>
      <w:r w:rsidR="00FC59A2">
        <w:rPr>
          <w:rFonts w:ascii="Times New Roman" w:hAnsi="Times New Roman" w:cs="Times New Roman"/>
          <w:i/>
          <w:color w:val="000000"/>
          <w:sz w:val="24"/>
          <w:szCs w:val="20"/>
        </w:rPr>
        <w:t>Id.</w:t>
      </w:r>
    </w:p>
    <w:p w:rsidR="00E720A0" w:rsidRDefault="00E720A0"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r>
      <w:r w:rsidR="00AC198C" w:rsidRPr="00AC198C">
        <w:rPr>
          <w:rFonts w:ascii="Times New Roman" w:hAnsi="Times New Roman" w:cs="Times New Roman"/>
          <w:color w:val="000000"/>
          <w:sz w:val="24"/>
          <w:szCs w:val="24"/>
        </w:rPr>
        <w:t xml:space="preserve">According to Restor-It, the trial court improperly concluded that “if a specialty contractor performs work that requires licensure for a specific trade, such as plumbing or electrical work, ... the result of that unlawful action transforms a specialty contractor into a general contractor.” </w:t>
      </w:r>
      <w:r w:rsidR="003B297C">
        <w:rPr>
          <w:rFonts w:ascii="Times New Roman" w:hAnsi="Times New Roman" w:cs="Times New Roman"/>
          <w:color w:val="000000"/>
          <w:sz w:val="24"/>
          <w:szCs w:val="24"/>
        </w:rPr>
        <w:t>The court determined that</w:t>
      </w:r>
      <w:r w:rsidR="00AC198C" w:rsidRPr="00AC198C">
        <w:rPr>
          <w:rFonts w:ascii="Times New Roman" w:hAnsi="Times New Roman" w:cs="Times New Roman"/>
          <w:color w:val="000000"/>
          <w:sz w:val="24"/>
          <w:szCs w:val="24"/>
        </w:rPr>
        <w:t xml:space="preserve"> the real question is whether a specialty contractor, as defined in</w:t>
      </w:r>
      <w:r w:rsidR="00AC198C">
        <w:rPr>
          <w:rFonts w:ascii="Times New Roman" w:hAnsi="Times New Roman" w:cs="Times New Roman"/>
          <w:color w:val="000000"/>
          <w:sz w:val="24"/>
          <w:szCs w:val="24"/>
        </w:rPr>
        <w:t xml:space="preserve"> O.C.G.A. § 43-41-2(12),</w:t>
      </w:r>
      <w:r w:rsidR="00AC198C" w:rsidRPr="00AC198C">
        <w:rPr>
          <w:rFonts w:ascii="Times New Roman" w:hAnsi="Times New Roman" w:cs="Times New Roman"/>
          <w:color w:val="000000"/>
          <w:sz w:val="24"/>
          <w:szCs w:val="24"/>
        </w:rPr>
        <w:t xml:space="preserve"> </w:t>
      </w:r>
      <w:r w:rsidR="00AC198C">
        <w:rPr>
          <w:rFonts w:ascii="Times New Roman" w:hAnsi="Times New Roman" w:cs="Times New Roman"/>
          <w:color w:val="000000"/>
          <w:sz w:val="24"/>
          <w:szCs w:val="24"/>
        </w:rPr>
        <w:t>c</w:t>
      </w:r>
      <w:r w:rsidR="00AC198C" w:rsidRPr="00AC198C">
        <w:rPr>
          <w:rFonts w:ascii="Times New Roman" w:hAnsi="Times New Roman" w:cs="Times New Roman"/>
          <w:color w:val="000000"/>
          <w:sz w:val="24"/>
          <w:szCs w:val="24"/>
        </w:rPr>
        <w:t xml:space="preserve">an hire licensed electrical and plumbing subcontractors or whether the hiring of subcontractors is strictly reserved for general or residential contractors, as those terms are defined in </w:t>
      </w:r>
      <w:r w:rsidR="00AC198C">
        <w:rPr>
          <w:rFonts w:ascii="Times New Roman" w:hAnsi="Times New Roman" w:cs="Times New Roman"/>
          <w:color w:val="000000"/>
          <w:sz w:val="24"/>
          <w:szCs w:val="24"/>
        </w:rPr>
        <w:t xml:space="preserve">O.C.G.A. § 43-41-2(5) </w:t>
      </w:r>
      <w:r w:rsidR="00AC198C" w:rsidRPr="00AC198C">
        <w:rPr>
          <w:rFonts w:ascii="Times New Roman" w:hAnsi="Times New Roman" w:cs="Times New Roman"/>
          <w:color w:val="000000"/>
          <w:sz w:val="24"/>
          <w:szCs w:val="24"/>
        </w:rPr>
        <w:t>and</w:t>
      </w:r>
      <w:r w:rsidR="00AC198C">
        <w:rPr>
          <w:rFonts w:ascii="Times New Roman" w:hAnsi="Times New Roman" w:cs="Times New Roman"/>
          <w:color w:val="000000"/>
          <w:sz w:val="24"/>
          <w:szCs w:val="24"/>
        </w:rPr>
        <w:t xml:space="preserve"> (9)</w:t>
      </w:r>
      <w:r w:rsidR="00AC198C" w:rsidRPr="00AC198C">
        <w:rPr>
          <w:rFonts w:ascii="Times New Roman" w:hAnsi="Times New Roman" w:cs="Times New Roman"/>
          <w:color w:val="000000"/>
          <w:sz w:val="24"/>
          <w:szCs w:val="24"/>
        </w:rPr>
        <w:t>.</w:t>
      </w:r>
      <w:r w:rsidR="00AC198C">
        <w:rPr>
          <w:rFonts w:ascii="Times New Roman" w:hAnsi="Times New Roman" w:cs="Times New Roman"/>
          <w:color w:val="000000"/>
          <w:sz w:val="24"/>
          <w:szCs w:val="24"/>
        </w:rPr>
        <w:t xml:space="preserve">  </w:t>
      </w:r>
      <w:r w:rsidR="00AC198C">
        <w:rPr>
          <w:rFonts w:ascii="Times New Roman" w:hAnsi="Times New Roman" w:cs="Times New Roman"/>
          <w:i/>
          <w:color w:val="000000"/>
          <w:sz w:val="24"/>
          <w:szCs w:val="24"/>
        </w:rPr>
        <w:t>Id.</w:t>
      </w:r>
      <w:r w:rsidR="00AC198C">
        <w:rPr>
          <w:rFonts w:ascii="Times New Roman" w:hAnsi="Times New Roman" w:cs="Times New Roman"/>
          <w:color w:val="000000"/>
          <w:sz w:val="24"/>
          <w:szCs w:val="24"/>
        </w:rPr>
        <w:t xml:space="preserve"> at 621.  </w:t>
      </w:r>
      <w:r w:rsidR="003B297C">
        <w:rPr>
          <w:rFonts w:ascii="Times New Roman" w:hAnsi="Times New Roman" w:cs="Times New Roman"/>
          <w:color w:val="000000"/>
          <w:sz w:val="24"/>
          <w:szCs w:val="24"/>
        </w:rPr>
        <w:t xml:space="preserve">However, </w:t>
      </w:r>
      <w:r w:rsidR="00AC198C">
        <w:rPr>
          <w:rFonts w:ascii="Times New Roman" w:hAnsi="Times New Roman" w:cs="Times New Roman"/>
          <w:color w:val="000000"/>
          <w:sz w:val="24"/>
          <w:szCs w:val="24"/>
        </w:rPr>
        <w:t>“</w:t>
      </w:r>
      <w:r w:rsidR="00AC198C" w:rsidRPr="00AC198C">
        <w:rPr>
          <w:rFonts w:ascii="Times New Roman" w:hAnsi="Times New Roman" w:cs="Times New Roman"/>
          <w:color w:val="000000"/>
          <w:sz w:val="24"/>
          <w:szCs w:val="20"/>
        </w:rPr>
        <w:t xml:space="preserve">Restor-It produced no evidence that it subcontracted the electrical and plumbing work to individuals licensed to perform such work. </w:t>
      </w:r>
      <w:r w:rsidR="003B297C">
        <w:rPr>
          <w:rFonts w:ascii="Times New Roman" w:hAnsi="Times New Roman" w:cs="Times New Roman"/>
          <w:color w:val="000000"/>
          <w:sz w:val="24"/>
          <w:szCs w:val="20"/>
        </w:rPr>
        <w:t xml:space="preserve"> </w:t>
      </w:r>
      <w:r w:rsidR="00AC198C" w:rsidRPr="00AC198C">
        <w:rPr>
          <w:rFonts w:ascii="Times New Roman" w:hAnsi="Times New Roman" w:cs="Times New Roman"/>
          <w:color w:val="000000"/>
          <w:sz w:val="24"/>
          <w:szCs w:val="20"/>
        </w:rPr>
        <w:t xml:space="preserve">The trial court repeatedly stated that regardless of Restor-It’s status, the electrical and plumbing work performed under the agreement with Beck required licensed electrical and plumbing contractors. Accordingly, the trial court’s interpretation of the effects of a </w:t>
      </w:r>
      <w:r w:rsidR="00AC198C" w:rsidRPr="00AC198C">
        <w:rPr>
          <w:rFonts w:ascii="Times New Roman" w:hAnsi="Times New Roman" w:cs="Times New Roman"/>
          <w:color w:val="000000"/>
          <w:sz w:val="24"/>
          <w:szCs w:val="20"/>
        </w:rPr>
        <w:lastRenderedPageBreak/>
        <w:t xml:space="preserve">specialty contractor hiring licensed subcontractors was not crucial to the result reached, and </w:t>
      </w:r>
      <w:r w:rsidR="00AC198C">
        <w:rPr>
          <w:rFonts w:ascii="Times New Roman" w:hAnsi="Times New Roman" w:cs="Times New Roman"/>
          <w:color w:val="000000"/>
          <w:sz w:val="24"/>
          <w:szCs w:val="20"/>
        </w:rPr>
        <w:t xml:space="preserve">[the </w:t>
      </w:r>
      <w:r w:rsidR="003B297C">
        <w:rPr>
          <w:rFonts w:ascii="Times New Roman" w:hAnsi="Times New Roman" w:cs="Times New Roman"/>
          <w:color w:val="000000"/>
          <w:sz w:val="24"/>
          <w:szCs w:val="20"/>
        </w:rPr>
        <w:t>C</w:t>
      </w:r>
      <w:r w:rsidR="00AC198C">
        <w:rPr>
          <w:rFonts w:ascii="Times New Roman" w:hAnsi="Times New Roman" w:cs="Times New Roman"/>
          <w:color w:val="000000"/>
          <w:sz w:val="24"/>
          <w:szCs w:val="20"/>
        </w:rPr>
        <w:t>ourt</w:t>
      </w:r>
      <w:r w:rsidR="003B297C">
        <w:rPr>
          <w:rFonts w:ascii="Times New Roman" w:hAnsi="Times New Roman" w:cs="Times New Roman"/>
          <w:color w:val="000000"/>
          <w:sz w:val="24"/>
          <w:szCs w:val="20"/>
        </w:rPr>
        <w:t xml:space="preserve"> of Appeals</w:t>
      </w:r>
      <w:r w:rsidR="00AC198C">
        <w:rPr>
          <w:rFonts w:ascii="Times New Roman" w:hAnsi="Times New Roman" w:cs="Times New Roman"/>
          <w:color w:val="000000"/>
          <w:sz w:val="24"/>
          <w:szCs w:val="20"/>
        </w:rPr>
        <w:t>]</w:t>
      </w:r>
      <w:r w:rsidR="00AC198C" w:rsidRPr="00AC198C">
        <w:rPr>
          <w:rFonts w:ascii="Times New Roman" w:hAnsi="Times New Roman" w:cs="Times New Roman"/>
          <w:color w:val="000000"/>
          <w:sz w:val="24"/>
          <w:szCs w:val="20"/>
        </w:rPr>
        <w:t xml:space="preserve"> will affirm a grant of summary judgment if it is right for any reason, whether stated or unstated.</w:t>
      </w:r>
      <w:r w:rsidR="00AC198C">
        <w:rPr>
          <w:rFonts w:ascii="Times New Roman" w:hAnsi="Times New Roman" w:cs="Times New Roman"/>
          <w:color w:val="000000"/>
          <w:sz w:val="24"/>
          <w:szCs w:val="20"/>
        </w:rPr>
        <w:t xml:space="preserve">”  </w:t>
      </w:r>
      <w:r w:rsidR="00AC198C">
        <w:rPr>
          <w:rFonts w:ascii="Times New Roman" w:hAnsi="Times New Roman" w:cs="Times New Roman"/>
          <w:i/>
          <w:color w:val="000000"/>
          <w:sz w:val="24"/>
          <w:szCs w:val="20"/>
        </w:rPr>
        <w:t>Id.</w:t>
      </w:r>
    </w:p>
    <w:p w:rsidR="00AC198C" w:rsidRPr="0015732D" w:rsidRDefault="00AC198C" w:rsidP="003A4243">
      <w:pPr>
        <w:autoSpaceDE w:val="0"/>
        <w:autoSpaceDN w:val="0"/>
        <w:adjustRightInd w:val="0"/>
        <w:spacing w:after="0"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0"/>
        </w:rPr>
        <w:tab/>
        <w:t>The court emphasized that b</w:t>
      </w:r>
      <w:r w:rsidRPr="00AC198C">
        <w:rPr>
          <w:rFonts w:ascii="Times New Roman" w:hAnsi="Times New Roman" w:cs="Times New Roman"/>
          <w:color w:val="000000"/>
          <w:sz w:val="24"/>
          <w:szCs w:val="24"/>
        </w:rPr>
        <w:t xml:space="preserve">oth </w:t>
      </w:r>
      <w:r>
        <w:rPr>
          <w:rFonts w:ascii="Times New Roman" w:hAnsi="Times New Roman" w:cs="Times New Roman"/>
          <w:color w:val="000000"/>
          <w:sz w:val="24"/>
          <w:szCs w:val="24"/>
        </w:rPr>
        <w:t>“O.C.G.A. § 43-14-8 and O.C.G.A. § 43-41-17(f)</w:t>
      </w:r>
      <w:r w:rsidRPr="00AC198C">
        <w:rPr>
          <w:rFonts w:ascii="Times New Roman" w:hAnsi="Times New Roman" w:cs="Times New Roman"/>
          <w:color w:val="000000"/>
          <w:sz w:val="24"/>
          <w:szCs w:val="24"/>
        </w:rPr>
        <w:t xml:space="preserve"> bar an unlicensed contractor from performing electrical and plumbing work. And, both statutes are intended for the protection of the public against </w:t>
      </w:r>
      <w:r>
        <w:rPr>
          <w:rFonts w:ascii="Times New Roman" w:hAnsi="Times New Roman" w:cs="Times New Roman"/>
          <w:color w:val="000000"/>
          <w:sz w:val="24"/>
          <w:szCs w:val="24"/>
        </w:rPr>
        <w:t>‘</w:t>
      </w:r>
      <w:r w:rsidRPr="00AC198C">
        <w:rPr>
          <w:rFonts w:ascii="Times New Roman" w:hAnsi="Times New Roman" w:cs="Times New Roman"/>
          <w:color w:val="000000"/>
          <w:sz w:val="24"/>
          <w:szCs w:val="24"/>
        </w:rPr>
        <w:t>faulty, inadequate, inefficient, or unsafe</w:t>
      </w:r>
      <w:r>
        <w:rPr>
          <w:rFonts w:ascii="Times New Roman" w:hAnsi="Times New Roman" w:cs="Times New Roman"/>
          <w:color w:val="000000"/>
          <w:sz w:val="24"/>
          <w:szCs w:val="24"/>
        </w:rPr>
        <w:t>’</w:t>
      </w:r>
      <w:r w:rsidRPr="00AC198C">
        <w:rPr>
          <w:rFonts w:ascii="Times New Roman" w:hAnsi="Times New Roman" w:cs="Times New Roman"/>
          <w:color w:val="000000"/>
          <w:sz w:val="24"/>
          <w:szCs w:val="24"/>
        </w:rPr>
        <w:t xml:space="preserve"> electrical and plumbing contracting, </w:t>
      </w:r>
      <w:r>
        <w:rPr>
          <w:rFonts w:ascii="Times New Roman" w:hAnsi="Times New Roman" w:cs="Times New Roman"/>
          <w:color w:val="000000"/>
          <w:sz w:val="24"/>
          <w:szCs w:val="24"/>
        </w:rPr>
        <w:t>O.C.G.A. § 43-14-1</w:t>
      </w:r>
      <w:r w:rsidRPr="00AC198C">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w:t>
      </w:r>
      <w:r w:rsidRPr="00AC198C">
        <w:rPr>
          <w:rFonts w:ascii="Times New Roman" w:hAnsi="Times New Roman" w:cs="Times New Roman"/>
          <w:color w:val="000000"/>
          <w:sz w:val="24"/>
          <w:szCs w:val="24"/>
        </w:rPr>
        <w:t>faulty, inadequate, inefficient, and unsafe resid</w:t>
      </w:r>
      <w:r>
        <w:rPr>
          <w:rFonts w:ascii="Times New Roman" w:hAnsi="Times New Roman" w:cs="Times New Roman"/>
          <w:color w:val="000000"/>
          <w:sz w:val="24"/>
          <w:szCs w:val="24"/>
        </w:rPr>
        <w:t xml:space="preserve">ential and general contractors.’”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623.  Where “</w:t>
      </w:r>
      <w:r w:rsidRPr="00AC198C">
        <w:rPr>
          <w:rFonts w:ascii="Times New Roman" w:hAnsi="Times New Roman" w:cs="Times New Roman"/>
          <w:color w:val="000000"/>
          <w:sz w:val="24"/>
          <w:szCs w:val="20"/>
        </w:rPr>
        <w:t>a statute provides that persons proposing to engage in a certain business shall procure a license before being authorized to do so, and where it appears from the terms of the statute that it was enacted not merely as a revenue measure but was intended as a regulation of such business in the interest of the public, contracts made in violation of such statute are void and unenforceable.</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sidR="0015732D">
        <w:rPr>
          <w:rFonts w:ascii="Times New Roman" w:hAnsi="Times New Roman" w:cs="Times New Roman"/>
          <w:color w:val="000000"/>
          <w:sz w:val="24"/>
          <w:szCs w:val="20"/>
        </w:rPr>
        <w:t xml:space="preserve"> (citations omitted).  “</w:t>
      </w:r>
      <w:r w:rsidR="0015732D" w:rsidRPr="0015732D">
        <w:rPr>
          <w:rFonts w:ascii="Times New Roman" w:hAnsi="Times New Roman" w:cs="Times New Roman"/>
          <w:color w:val="000000"/>
          <w:sz w:val="24"/>
          <w:szCs w:val="20"/>
        </w:rPr>
        <w:t>The contract between Restor-It and Beck is void and unenforceable because Restor-It has not proven that it had a license to perform the electrical and plumbing work detailed in the contract. The trial court did not err by granting summary judgment to Beck on Restor-It’s claims.</w:t>
      </w:r>
      <w:r w:rsidR="0015732D">
        <w:rPr>
          <w:rFonts w:ascii="Times New Roman" w:hAnsi="Times New Roman" w:cs="Times New Roman"/>
          <w:color w:val="000000"/>
          <w:sz w:val="24"/>
          <w:szCs w:val="20"/>
        </w:rPr>
        <w:t xml:space="preserve">”  </w:t>
      </w:r>
      <w:r w:rsidR="0015732D">
        <w:rPr>
          <w:rFonts w:ascii="Times New Roman" w:hAnsi="Times New Roman" w:cs="Times New Roman"/>
          <w:i/>
          <w:color w:val="000000"/>
          <w:sz w:val="24"/>
          <w:szCs w:val="20"/>
        </w:rPr>
        <w:t>Id.</w:t>
      </w:r>
    </w:p>
    <w:p w:rsidR="00053DDD" w:rsidRDefault="00053DDD" w:rsidP="003A4243">
      <w:pPr>
        <w:autoSpaceDE w:val="0"/>
        <w:autoSpaceDN w:val="0"/>
        <w:adjustRightInd w:val="0"/>
        <w:spacing w:after="0" w:line="360" w:lineRule="auto"/>
        <w:contextualSpacing/>
        <w:rPr>
          <w:rFonts w:ascii="Times New Roman" w:hAnsi="Times New Roman" w:cs="Times New Roman"/>
          <w:sz w:val="24"/>
        </w:rPr>
      </w:pPr>
      <w:r>
        <w:rPr>
          <w:rFonts w:ascii="Times New Roman" w:hAnsi="Times New Roman" w:cs="Times New Roman"/>
          <w:color w:val="212121"/>
          <w:sz w:val="24"/>
          <w:szCs w:val="24"/>
        </w:rPr>
        <w:tab/>
        <w:t xml:space="preserve">In </w:t>
      </w:r>
      <w:r>
        <w:rPr>
          <w:rFonts w:ascii="Times New Roman" w:hAnsi="Times New Roman" w:cs="Times New Roman"/>
          <w:i/>
          <w:color w:val="212121"/>
          <w:sz w:val="24"/>
          <w:szCs w:val="24"/>
        </w:rPr>
        <w:t>LFR Investments, LLC v. Van Sant</w:t>
      </w:r>
      <w:r>
        <w:rPr>
          <w:rFonts w:ascii="Times New Roman" w:hAnsi="Times New Roman" w:cs="Times New Roman"/>
          <w:color w:val="212121"/>
          <w:sz w:val="24"/>
          <w:szCs w:val="24"/>
        </w:rPr>
        <w:t xml:space="preserve">, No. A20A0142, 2020 WL 2106391 (Ga. Ct. App. May 1, 2020), </w:t>
      </w:r>
      <w:r w:rsidR="0015732D" w:rsidRPr="0015732D">
        <w:rPr>
          <w:rFonts w:ascii="Times New Roman" w:hAnsi="Times New Roman" w:cs="Times New Roman"/>
          <w:sz w:val="24"/>
        </w:rPr>
        <w:t>Van Sant purchased a property from LFR and hired LFR to construct a house on the property.</w:t>
      </w:r>
      <w:r w:rsidR="0015732D">
        <w:rPr>
          <w:rFonts w:ascii="Times New Roman" w:hAnsi="Times New Roman" w:cs="Times New Roman"/>
          <w:sz w:val="24"/>
        </w:rPr>
        <w:t xml:space="preserve">  </w:t>
      </w:r>
      <w:r w:rsidR="0015732D">
        <w:rPr>
          <w:rFonts w:ascii="Times New Roman" w:hAnsi="Times New Roman" w:cs="Times New Roman"/>
          <w:i/>
          <w:sz w:val="24"/>
        </w:rPr>
        <w:t>Id.</w:t>
      </w:r>
      <w:r w:rsidR="0015732D">
        <w:rPr>
          <w:rFonts w:ascii="Times New Roman" w:hAnsi="Times New Roman" w:cs="Times New Roman"/>
          <w:sz w:val="24"/>
        </w:rPr>
        <w:t xml:space="preserve"> at *1.</w:t>
      </w:r>
      <w:r w:rsidR="0015732D" w:rsidRPr="0015732D">
        <w:rPr>
          <w:rFonts w:ascii="Times New Roman" w:hAnsi="Times New Roman" w:cs="Times New Roman"/>
          <w:sz w:val="24"/>
        </w:rPr>
        <w:t xml:space="preserve">  At the time the contract was executed, LFR was a </w:t>
      </w:r>
      <w:r w:rsidR="0015732D">
        <w:rPr>
          <w:rFonts w:ascii="Times New Roman" w:hAnsi="Times New Roman" w:cs="Times New Roman"/>
          <w:sz w:val="24"/>
        </w:rPr>
        <w:t xml:space="preserve">Georgia </w:t>
      </w:r>
      <w:r w:rsidR="0015732D" w:rsidRPr="0015732D">
        <w:rPr>
          <w:rFonts w:ascii="Times New Roman" w:hAnsi="Times New Roman" w:cs="Times New Roman"/>
          <w:sz w:val="24"/>
        </w:rPr>
        <w:t>LLC with one member</w:t>
      </w:r>
      <w:r w:rsidR="005A2656">
        <w:rPr>
          <w:rFonts w:ascii="Times New Roman" w:hAnsi="Times New Roman" w:cs="Times New Roman"/>
          <w:sz w:val="24"/>
        </w:rPr>
        <w:t>, Louis Reynaud</w:t>
      </w:r>
      <w:r w:rsidR="0015732D" w:rsidRPr="0015732D">
        <w:rPr>
          <w:rFonts w:ascii="Times New Roman" w:hAnsi="Times New Roman" w:cs="Times New Roman"/>
          <w:sz w:val="24"/>
        </w:rPr>
        <w:t>.</w:t>
      </w:r>
      <w:r w:rsidR="0015732D">
        <w:rPr>
          <w:rFonts w:ascii="Times New Roman" w:hAnsi="Times New Roman" w:cs="Times New Roman"/>
          <w:sz w:val="24"/>
        </w:rPr>
        <w:t xml:space="preserve">  </w:t>
      </w:r>
      <w:r w:rsidR="0015732D">
        <w:rPr>
          <w:rFonts w:ascii="Times New Roman" w:hAnsi="Times New Roman" w:cs="Times New Roman"/>
          <w:i/>
          <w:sz w:val="24"/>
        </w:rPr>
        <w:t>Id.</w:t>
      </w:r>
      <w:r w:rsidR="0015732D" w:rsidRPr="0015732D">
        <w:rPr>
          <w:rFonts w:ascii="Times New Roman" w:hAnsi="Times New Roman" w:cs="Times New Roman"/>
          <w:sz w:val="24"/>
        </w:rPr>
        <w:t xml:space="preserve">  </w:t>
      </w:r>
      <w:r w:rsidR="00B764D9">
        <w:rPr>
          <w:rFonts w:ascii="Times New Roman" w:hAnsi="Times New Roman" w:cs="Times New Roman"/>
          <w:sz w:val="24"/>
        </w:rPr>
        <w:t>Reynaud</w:t>
      </w:r>
      <w:r w:rsidR="0015732D" w:rsidRPr="0015732D">
        <w:rPr>
          <w:rFonts w:ascii="Times New Roman" w:hAnsi="Times New Roman" w:cs="Times New Roman"/>
          <w:sz w:val="24"/>
        </w:rPr>
        <w:t xml:space="preserve"> was a licensed contractor, but for a different company, and was not a licensed qualifying agent for LFR.</w:t>
      </w:r>
      <w:r w:rsidR="0015732D">
        <w:rPr>
          <w:rFonts w:ascii="Times New Roman" w:hAnsi="Times New Roman" w:cs="Times New Roman"/>
          <w:sz w:val="24"/>
        </w:rPr>
        <w:t xml:space="preserve">  </w:t>
      </w:r>
      <w:r w:rsidR="0015732D">
        <w:rPr>
          <w:rFonts w:ascii="Times New Roman" w:hAnsi="Times New Roman" w:cs="Times New Roman"/>
          <w:i/>
          <w:sz w:val="24"/>
        </w:rPr>
        <w:t>Id.</w:t>
      </w:r>
      <w:r w:rsidR="0015732D">
        <w:rPr>
          <w:rFonts w:ascii="Times New Roman" w:hAnsi="Times New Roman" w:cs="Times New Roman"/>
          <w:sz w:val="24"/>
        </w:rPr>
        <w:t xml:space="preserve">  </w:t>
      </w:r>
      <w:r w:rsidR="0015732D" w:rsidRPr="009E1848">
        <w:rPr>
          <w:rFonts w:ascii="Times New Roman" w:hAnsi="Times New Roman" w:cs="Times New Roman"/>
          <w:sz w:val="24"/>
        </w:rPr>
        <w:t>Van Sant fired LFR and hired a new contractor.  LFR sued for breach of contract, unjust enrichment and attorney’s fees.</w:t>
      </w:r>
      <w:r w:rsidR="009E1848">
        <w:rPr>
          <w:rFonts w:ascii="Times New Roman" w:hAnsi="Times New Roman" w:cs="Times New Roman"/>
          <w:sz w:val="24"/>
        </w:rPr>
        <w:t xml:space="preserve">  </w:t>
      </w:r>
      <w:r w:rsidR="009E1848">
        <w:rPr>
          <w:rFonts w:ascii="Times New Roman" w:hAnsi="Times New Roman" w:cs="Times New Roman"/>
          <w:i/>
          <w:sz w:val="24"/>
        </w:rPr>
        <w:t>Id.</w:t>
      </w:r>
      <w:r w:rsidR="009E1848" w:rsidRPr="009E1848">
        <w:rPr>
          <w:rFonts w:ascii="Times New Roman" w:hAnsi="Times New Roman" w:cs="Times New Roman"/>
          <w:sz w:val="24"/>
        </w:rPr>
        <w:t xml:space="preserve">  Van Sant moved for summary judgment on the </w:t>
      </w:r>
      <w:r w:rsidR="009E1848">
        <w:rPr>
          <w:rFonts w:ascii="Times New Roman" w:hAnsi="Times New Roman" w:cs="Times New Roman"/>
          <w:sz w:val="24"/>
        </w:rPr>
        <w:t>basis</w:t>
      </w:r>
      <w:r w:rsidR="009E1848" w:rsidRPr="009E1848">
        <w:rPr>
          <w:rFonts w:ascii="Times New Roman" w:hAnsi="Times New Roman" w:cs="Times New Roman"/>
          <w:sz w:val="24"/>
        </w:rPr>
        <w:t xml:space="preserve"> that because LFR was not a licensed contractor, the contract was unenforceable.</w:t>
      </w:r>
      <w:r w:rsidR="009E1848">
        <w:rPr>
          <w:rFonts w:ascii="Times New Roman" w:hAnsi="Times New Roman" w:cs="Times New Roman"/>
          <w:sz w:val="24"/>
        </w:rPr>
        <w:t xml:space="preserve">  </w:t>
      </w:r>
      <w:r w:rsidR="009E1848">
        <w:rPr>
          <w:rFonts w:ascii="Times New Roman" w:hAnsi="Times New Roman" w:cs="Times New Roman"/>
          <w:i/>
          <w:sz w:val="24"/>
        </w:rPr>
        <w:t>Id.</w:t>
      </w:r>
      <w:r w:rsidR="009E1848" w:rsidRPr="009E1848">
        <w:rPr>
          <w:rFonts w:ascii="Times New Roman" w:hAnsi="Times New Roman" w:cs="Times New Roman"/>
          <w:sz w:val="24"/>
        </w:rPr>
        <w:t>  The trial court granted the motion and LFR appealed.</w:t>
      </w:r>
      <w:r w:rsidR="009E1848">
        <w:rPr>
          <w:rFonts w:ascii="Times New Roman" w:hAnsi="Times New Roman" w:cs="Times New Roman"/>
          <w:sz w:val="24"/>
        </w:rPr>
        <w:t xml:space="preserve">  </w:t>
      </w:r>
      <w:r w:rsidR="009E1848">
        <w:rPr>
          <w:rFonts w:ascii="Times New Roman" w:hAnsi="Times New Roman" w:cs="Times New Roman"/>
          <w:i/>
          <w:sz w:val="24"/>
        </w:rPr>
        <w:t>Id.</w:t>
      </w:r>
    </w:p>
    <w:p w:rsidR="009E1848" w:rsidRDefault="009E1848"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sz w:val="24"/>
        </w:rPr>
        <w:tab/>
        <w:t>The Court of Appeals affirmed, noting that “</w:t>
      </w:r>
      <w:r w:rsidRPr="009E1848">
        <w:rPr>
          <w:rFonts w:ascii="Times New Roman" w:hAnsi="Times New Roman" w:cs="Times New Roman"/>
          <w:color w:val="000000"/>
          <w:sz w:val="24"/>
          <w:szCs w:val="20"/>
        </w:rPr>
        <w:t xml:space="preserve">the contract identified LFR as the </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Builder</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and, in a section marked </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Contract Work,</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specified that LFR </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shall perform the labor and services and provide all materials necessary to construct</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the house on the </w:t>
      </w:r>
      <w:r w:rsidRPr="009E1848">
        <w:rPr>
          <w:rFonts w:ascii="Times New Roman" w:hAnsi="Times New Roman" w:cs="Times New Roman"/>
          <w:color w:val="000000"/>
          <w:sz w:val="24"/>
          <w:szCs w:val="20"/>
        </w:rPr>
        <w:lastRenderedPageBreak/>
        <w:t xml:space="preserve">property; thus, LFR met the statute’s definition of a </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contractor.</w:t>
      </w:r>
      <w:bookmarkStart w:id="4" w:name="co_fnRef_B00042050891035_ID0ERYAE_1"/>
      <w:bookmarkEnd w:id="4"/>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The record </w:t>
      </w:r>
      <w:r>
        <w:rPr>
          <w:rFonts w:ascii="Times New Roman" w:hAnsi="Times New Roman" w:cs="Times New Roman"/>
          <w:color w:val="000000"/>
          <w:sz w:val="24"/>
          <w:szCs w:val="20"/>
        </w:rPr>
        <w:t>[was]</w:t>
      </w:r>
      <w:r w:rsidRPr="009E1848">
        <w:rPr>
          <w:rFonts w:ascii="Times New Roman" w:hAnsi="Times New Roman" w:cs="Times New Roman"/>
          <w:color w:val="000000"/>
          <w:sz w:val="24"/>
          <w:szCs w:val="20"/>
        </w:rPr>
        <w:t xml:space="preserve"> clear that LFR itself did not have a Georgia contractor’s license when the construction contract was executed, nor did it have one when the work was performed pursuant to the contract. “Thus, under O</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C</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G</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A</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 42-41-17 (b), the construction contract </w:t>
      </w:r>
      <w:r>
        <w:rPr>
          <w:rFonts w:ascii="Times New Roman" w:hAnsi="Times New Roman" w:cs="Times New Roman"/>
          <w:color w:val="000000"/>
          <w:sz w:val="24"/>
          <w:szCs w:val="20"/>
        </w:rPr>
        <w:t>[was]</w:t>
      </w:r>
      <w:r w:rsidRPr="009E1848">
        <w:rPr>
          <w:rFonts w:ascii="Times New Roman" w:hAnsi="Times New Roman" w:cs="Times New Roman"/>
          <w:color w:val="000000"/>
          <w:sz w:val="24"/>
          <w:szCs w:val="20"/>
        </w:rPr>
        <w:t xml:space="preserve"> not enforceable by [LFR] in law or in equity unless an exemption applie</w:t>
      </w:r>
      <w:r>
        <w:rPr>
          <w:rFonts w:ascii="Times New Roman" w:hAnsi="Times New Roman" w:cs="Times New Roman"/>
          <w:color w:val="000000"/>
          <w:sz w:val="24"/>
          <w:szCs w:val="20"/>
        </w:rPr>
        <w:t>[d]</w:t>
      </w:r>
      <w:r w:rsidRPr="009E1848">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*2 (citation omitted).</w:t>
      </w:r>
    </w:p>
    <w:p w:rsidR="009E1848" w:rsidRDefault="009E1848" w:rsidP="003A4243">
      <w:pPr>
        <w:autoSpaceDE w:val="0"/>
        <w:autoSpaceDN w:val="0"/>
        <w:adjustRightInd w:val="0"/>
        <w:spacing w:after="0"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LFR argued that “</w:t>
      </w:r>
      <w:r w:rsidRPr="009E1848">
        <w:rPr>
          <w:rFonts w:ascii="Times New Roman" w:hAnsi="Times New Roman" w:cs="Times New Roman"/>
          <w:color w:val="000000"/>
          <w:sz w:val="24"/>
          <w:szCs w:val="20"/>
        </w:rPr>
        <w:t>because its sole member</w:t>
      </w:r>
      <w:r w:rsidR="005A2656">
        <w:rPr>
          <w:rFonts w:ascii="Times New Roman" w:hAnsi="Times New Roman" w:cs="Times New Roman"/>
          <w:color w:val="000000"/>
          <w:sz w:val="24"/>
          <w:szCs w:val="20"/>
        </w:rPr>
        <w:t>, Reynaud,</w:t>
      </w:r>
      <w:r w:rsidRPr="009E1848">
        <w:rPr>
          <w:rFonts w:ascii="Times New Roman" w:hAnsi="Times New Roman" w:cs="Times New Roman"/>
          <w:color w:val="000000"/>
          <w:sz w:val="24"/>
          <w:szCs w:val="20"/>
        </w:rPr>
        <w:t xml:space="preserve"> was properly licensed as a statutory </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qualifying agent,</w:t>
      </w:r>
      <w:r>
        <w:rPr>
          <w:rFonts w:ascii="Times New Roman" w:hAnsi="Times New Roman" w:cs="Times New Roman"/>
          <w:color w:val="000000"/>
          <w:sz w:val="24"/>
          <w:szCs w:val="20"/>
        </w:rPr>
        <w:t>’</w:t>
      </w:r>
      <w:r w:rsidRPr="009E1848">
        <w:rPr>
          <w:rFonts w:ascii="Times New Roman" w:hAnsi="Times New Roman" w:cs="Times New Roman"/>
          <w:color w:val="000000"/>
          <w:sz w:val="24"/>
          <w:szCs w:val="20"/>
        </w:rPr>
        <w:t xml:space="preserve"> LFR should be considered properly licensed and able to enforce the contract.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The court rejected this argument, holding that for a business to be considered properly licensed, it “</w:t>
      </w:r>
      <w:r w:rsidRPr="009E1848">
        <w:rPr>
          <w:rFonts w:ascii="Times New Roman" w:hAnsi="Times New Roman" w:cs="Times New Roman"/>
          <w:color w:val="000000"/>
          <w:sz w:val="24"/>
          <w:szCs w:val="20"/>
        </w:rPr>
        <w:t>must have at least one qualifying agent that is properly licensed, and that qualifying agent must specifically hold a license on that business’s behalf.</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*3.</w:t>
      </w:r>
      <w:r w:rsidR="005A2656">
        <w:rPr>
          <w:rFonts w:ascii="Times New Roman" w:hAnsi="Times New Roman" w:cs="Times New Roman"/>
          <w:color w:val="000000"/>
          <w:sz w:val="24"/>
          <w:szCs w:val="20"/>
        </w:rPr>
        <w:t xml:space="preserve">  “</w:t>
      </w:r>
      <w:r w:rsidR="005A2656" w:rsidRPr="005A2656">
        <w:rPr>
          <w:rFonts w:ascii="Times New Roman" w:hAnsi="Times New Roman" w:cs="Times New Roman"/>
          <w:color w:val="000000"/>
          <w:sz w:val="24"/>
          <w:szCs w:val="20"/>
        </w:rPr>
        <w:t xml:space="preserve">For Reynaud to be considered a qualifying agent on LFR’s behalf, </w:t>
      </w:r>
      <w:r w:rsidR="005A2656">
        <w:rPr>
          <w:rFonts w:ascii="Times New Roman" w:hAnsi="Times New Roman" w:cs="Times New Roman"/>
          <w:color w:val="000000"/>
          <w:sz w:val="24"/>
          <w:szCs w:val="20"/>
        </w:rPr>
        <w:t xml:space="preserve">… </w:t>
      </w:r>
      <w:r w:rsidR="005A2656" w:rsidRPr="005A2656">
        <w:rPr>
          <w:rFonts w:ascii="Times New Roman" w:hAnsi="Times New Roman" w:cs="Times New Roman"/>
          <w:color w:val="000000"/>
          <w:sz w:val="24"/>
          <w:szCs w:val="20"/>
        </w:rPr>
        <w:t xml:space="preserve">Reynaud must hold a license specifically on LFR’s behalf, and to obtain that license, Reynaud must have applied for such license with the Department of State </w:t>
      </w:r>
      <w:r w:rsidR="005A2656">
        <w:rPr>
          <w:rFonts w:ascii="Times New Roman" w:hAnsi="Times New Roman" w:cs="Times New Roman"/>
          <w:color w:val="000000"/>
          <w:sz w:val="24"/>
          <w:szCs w:val="20"/>
        </w:rPr>
        <w:t>‘</w:t>
      </w:r>
      <w:r w:rsidR="005A2656" w:rsidRPr="005A2656">
        <w:rPr>
          <w:rFonts w:ascii="Times New Roman" w:hAnsi="Times New Roman" w:cs="Times New Roman"/>
          <w:color w:val="000000"/>
          <w:sz w:val="24"/>
          <w:szCs w:val="20"/>
        </w:rPr>
        <w:t>expressly on behalf of</w:t>
      </w:r>
      <w:r w:rsidR="005A2656">
        <w:rPr>
          <w:rFonts w:ascii="Times New Roman" w:hAnsi="Times New Roman" w:cs="Times New Roman"/>
          <w:color w:val="000000"/>
          <w:sz w:val="24"/>
          <w:szCs w:val="20"/>
        </w:rPr>
        <w:t>’</w:t>
      </w:r>
      <w:r w:rsidR="005A2656" w:rsidRPr="005A2656">
        <w:rPr>
          <w:rFonts w:ascii="Times New Roman" w:hAnsi="Times New Roman" w:cs="Times New Roman"/>
          <w:color w:val="000000"/>
          <w:sz w:val="24"/>
          <w:szCs w:val="20"/>
        </w:rPr>
        <w:t xml:space="preserve"> LFR.</w:t>
      </w:r>
      <w:r w:rsidR="005A2656">
        <w:rPr>
          <w:rFonts w:ascii="Times New Roman" w:hAnsi="Times New Roman" w:cs="Times New Roman"/>
          <w:color w:val="000000"/>
          <w:sz w:val="24"/>
          <w:szCs w:val="20"/>
        </w:rPr>
        <w:t xml:space="preserve">”  </w:t>
      </w:r>
      <w:r w:rsidR="005A2656">
        <w:rPr>
          <w:rFonts w:ascii="Times New Roman" w:hAnsi="Times New Roman" w:cs="Times New Roman"/>
          <w:i/>
          <w:color w:val="000000"/>
          <w:sz w:val="24"/>
          <w:szCs w:val="20"/>
        </w:rPr>
        <w:t>Id.</w:t>
      </w:r>
      <w:r w:rsidR="005A2656" w:rsidRPr="005A2656">
        <w:rPr>
          <w:rFonts w:ascii="Times New Roman" w:hAnsi="Times New Roman" w:cs="Times New Roman"/>
          <w:color w:val="000000"/>
          <w:sz w:val="24"/>
          <w:szCs w:val="20"/>
        </w:rPr>
        <w:t xml:space="preserve">  </w:t>
      </w:r>
      <w:r w:rsidR="005A2656">
        <w:rPr>
          <w:rFonts w:ascii="Times New Roman" w:hAnsi="Times New Roman" w:cs="Times New Roman"/>
          <w:color w:val="000000"/>
          <w:sz w:val="24"/>
          <w:szCs w:val="20"/>
        </w:rPr>
        <w:t>“</w:t>
      </w:r>
      <w:r w:rsidR="005A2656" w:rsidRPr="005A2656">
        <w:rPr>
          <w:rFonts w:ascii="Times New Roman" w:hAnsi="Times New Roman" w:cs="Times New Roman"/>
          <w:color w:val="000000"/>
          <w:sz w:val="24"/>
          <w:szCs w:val="20"/>
        </w:rPr>
        <w:t>The plain language of the statute thus compels a conclusion that the mere fact that LFR has in its employ a person who is otherwise licensed as a qualifying agent is insufficient.</w:t>
      </w:r>
      <w:r w:rsidR="005A2656">
        <w:rPr>
          <w:rFonts w:ascii="Times New Roman" w:hAnsi="Times New Roman" w:cs="Times New Roman"/>
          <w:color w:val="000000"/>
          <w:sz w:val="24"/>
          <w:szCs w:val="20"/>
        </w:rPr>
        <w:t xml:space="preserve"> </w:t>
      </w:r>
      <w:r w:rsidR="005A2656" w:rsidRPr="005A2656">
        <w:rPr>
          <w:rFonts w:ascii="Times New Roman" w:hAnsi="Times New Roman" w:cs="Times New Roman"/>
          <w:color w:val="000000"/>
          <w:sz w:val="24"/>
          <w:szCs w:val="20"/>
        </w:rPr>
        <w:t xml:space="preserve"> If </w:t>
      </w:r>
      <w:r w:rsidR="005A2656">
        <w:rPr>
          <w:rFonts w:ascii="Times New Roman" w:hAnsi="Times New Roman" w:cs="Times New Roman"/>
          <w:color w:val="000000"/>
          <w:sz w:val="24"/>
          <w:szCs w:val="20"/>
        </w:rPr>
        <w:t xml:space="preserve">… </w:t>
      </w:r>
      <w:r w:rsidR="005A2656" w:rsidRPr="005A2656">
        <w:rPr>
          <w:rFonts w:ascii="Times New Roman" w:hAnsi="Times New Roman" w:cs="Times New Roman"/>
          <w:color w:val="000000"/>
          <w:sz w:val="24"/>
          <w:szCs w:val="20"/>
        </w:rPr>
        <w:t>Reynaud’s status as a licensed qualifying agent could be imputed to LFR merely through his employment, the work that he performed, or through his status as LFR’s sole member, it would entirely nullify these express statutory requirements that a business must have an individual apply as a qualifying agent on behalf of that business, and then hold a license on behalf of that business, in order for that business to be considered properly licensed.</w:t>
      </w:r>
      <w:r w:rsidR="005A2656">
        <w:rPr>
          <w:rFonts w:ascii="Times New Roman" w:hAnsi="Times New Roman" w:cs="Times New Roman"/>
          <w:color w:val="000000"/>
          <w:sz w:val="24"/>
          <w:szCs w:val="20"/>
        </w:rPr>
        <w:t xml:space="preserve">”  </w:t>
      </w:r>
      <w:r w:rsidR="005A2656">
        <w:rPr>
          <w:rFonts w:ascii="Times New Roman" w:hAnsi="Times New Roman" w:cs="Times New Roman"/>
          <w:i/>
          <w:color w:val="000000"/>
          <w:sz w:val="24"/>
          <w:szCs w:val="20"/>
        </w:rPr>
        <w:t>Id.</w:t>
      </w:r>
    </w:p>
    <w:p w:rsidR="005A2656" w:rsidRPr="005A2656" w:rsidRDefault="005A2656" w:rsidP="003A4243">
      <w:pPr>
        <w:autoSpaceDE w:val="0"/>
        <w:autoSpaceDN w:val="0"/>
        <w:adjustRightInd w:val="0"/>
        <w:spacing w:after="0"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0"/>
        </w:rPr>
        <w:tab/>
        <w:t>“</w:t>
      </w:r>
      <w:r w:rsidRPr="005A2656">
        <w:rPr>
          <w:rFonts w:ascii="Times New Roman" w:hAnsi="Times New Roman" w:cs="Times New Roman"/>
          <w:color w:val="000000"/>
          <w:sz w:val="24"/>
          <w:szCs w:val="24"/>
        </w:rPr>
        <w:t xml:space="preserve">Because there is no evidence in the record that any license specifically on LFR’s behalf was ever provided to a qualifying agent by the Department of State, or that Reynaud applied and registered on LFR’s behalf with the appropriate division, LFR has not established that it is licensed to do residential construction work, regardless of whether Reynaud or any of LFR’s related entities are otherwise properly licensed. The trial court therefore correctly ruled that LFR </w:t>
      </w:r>
      <w:r>
        <w:rPr>
          <w:rFonts w:ascii="Times New Roman" w:hAnsi="Times New Roman" w:cs="Times New Roman"/>
          <w:color w:val="000000"/>
          <w:sz w:val="24"/>
          <w:szCs w:val="24"/>
        </w:rPr>
        <w:t>[was]</w:t>
      </w:r>
      <w:r w:rsidRPr="005A2656">
        <w:rPr>
          <w:rFonts w:ascii="Times New Roman" w:hAnsi="Times New Roman" w:cs="Times New Roman"/>
          <w:color w:val="000000"/>
          <w:sz w:val="24"/>
          <w:szCs w:val="24"/>
        </w:rPr>
        <w:t xml:space="preserve"> barred under </w:t>
      </w:r>
      <w:r>
        <w:rPr>
          <w:rFonts w:ascii="Times New Roman" w:hAnsi="Times New Roman" w:cs="Times New Roman"/>
          <w:color w:val="000000"/>
          <w:sz w:val="24"/>
          <w:szCs w:val="24"/>
        </w:rPr>
        <w:t>O.C.G.A. § 43-41-17(b)</w:t>
      </w:r>
      <w:r w:rsidRPr="005A2656">
        <w:rPr>
          <w:rFonts w:ascii="Times New Roman" w:hAnsi="Times New Roman" w:cs="Times New Roman"/>
          <w:color w:val="000000"/>
          <w:sz w:val="24"/>
          <w:szCs w:val="24"/>
        </w:rPr>
        <w:t xml:space="preserve"> from enforcing the contract.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*4.</w:t>
      </w:r>
    </w:p>
    <w:p w:rsidR="00722EBE" w:rsidRDefault="00722EBE" w:rsidP="003A4243">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lastRenderedPageBreak/>
        <w:tab/>
      </w:r>
      <w:r w:rsidR="00A13DB1">
        <w:rPr>
          <w:rFonts w:ascii="Times New Roman" w:hAnsi="Times New Roman" w:cs="Times New Roman"/>
          <w:color w:val="212121"/>
          <w:sz w:val="24"/>
          <w:szCs w:val="24"/>
        </w:rPr>
        <w:t xml:space="preserve">In </w:t>
      </w:r>
      <w:r w:rsidR="00A13DB1">
        <w:rPr>
          <w:rFonts w:ascii="Times New Roman" w:hAnsi="Times New Roman" w:cs="Times New Roman"/>
          <w:i/>
          <w:color w:val="212121"/>
          <w:sz w:val="24"/>
          <w:szCs w:val="24"/>
        </w:rPr>
        <w:t>Blackmon v. Pena</w:t>
      </w:r>
      <w:r w:rsidR="00A13DB1">
        <w:rPr>
          <w:rFonts w:ascii="Times New Roman" w:hAnsi="Times New Roman" w:cs="Times New Roman"/>
          <w:color w:val="212121"/>
          <w:sz w:val="24"/>
          <w:szCs w:val="24"/>
        </w:rPr>
        <w:t xml:space="preserve">, 345 Ga. App. 7 (2018), </w:t>
      </w:r>
      <w:r w:rsidR="00A13DB1" w:rsidRPr="00A13DB1">
        <w:rPr>
          <w:rFonts w:ascii="Times New Roman" w:hAnsi="Times New Roman" w:cs="Times New Roman"/>
          <w:color w:val="000000"/>
          <w:sz w:val="24"/>
          <w:szCs w:val="24"/>
        </w:rPr>
        <w:t xml:space="preserve">restaurateur Irma Pena sued contractor Kirk Blackmon d/b/a Atlanta Concrete Creations and Kirk Blackmon, Inc. d/b/a Georgia Sunroom (collectively, “Blackmon”) for damages related to work Blackmon performed during the construction of an exterior patio and sunroom addition at Pena’s restaurant. Following a bench trial, the </w:t>
      </w:r>
      <w:r w:rsidR="00A13DB1">
        <w:rPr>
          <w:rFonts w:ascii="Times New Roman" w:hAnsi="Times New Roman" w:cs="Times New Roman"/>
          <w:color w:val="000000"/>
          <w:sz w:val="24"/>
          <w:szCs w:val="24"/>
        </w:rPr>
        <w:t>trial</w:t>
      </w:r>
      <w:r w:rsidR="00A13DB1" w:rsidRPr="00A13DB1">
        <w:rPr>
          <w:rFonts w:ascii="Times New Roman" w:hAnsi="Times New Roman" w:cs="Times New Roman"/>
          <w:color w:val="000000"/>
          <w:sz w:val="24"/>
          <w:szCs w:val="24"/>
        </w:rPr>
        <w:t xml:space="preserve"> </w:t>
      </w:r>
      <w:r w:rsidR="00A13DB1">
        <w:rPr>
          <w:rFonts w:ascii="Times New Roman" w:hAnsi="Times New Roman" w:cs="Times New Roman"/>
          <w:color w:val="000000"/>
          <w:sz w:val="24"/>
          <w:szCs w:val="24"/>
        </w:rPr>
        <w:t>c</w:t>
      </w:r>
      <w:r w:rsidR="00A13DB1" w:rsidRPr="00A13DB1">
        <w:rPr>
          <w:rFonts w:ascii="Times New Roman" w:hAnsi="Times New Roman" w:cs="Times New Roman"/>
          <w:color w:val="000000"/>
          <w:sz w:val="24"/>
          <w:szCs w:val="24"/>
        </w:rPr>
        <w:t>ourt entered a final judgment in Pena’s favor for breach of contract and negligent construction</w:t>
      </w:r>
      <w:r w:rsidR="00A13DB1">
        <w:rPr>
          <w:rFonts w:ascii="Times New Roman" w:hAnsi="Times New Roman" w:cs="Times New Roman"/>
          <w:color w:val="000000"/>
          <w:sz w:val="24"/>
          <w:szCs w:val="24"/>
        </w:rPr>
        <w:t xml:space="preserve">.  </w:t>
      </w:r>
      <w:r w:rsidR="00A13DB1" w:rsidRPr="00A13DB1">
        <w:rPr>
          <w:rFonts w:ascii="Times New Roman" w:hAnsi="Times New Roman" w:cs="Times New Roman"/>
          <w:color w:val="000000"/>
          <w:sz w:val="24"/>
          <w:szCs w:val="24"/>
        </w:rPr>
        <w:t>Pena signed two contracts with Blackmon on May 9, 2013, for the construction of an exterior patio and a four-season sunroom.</w:t>
      </w:r>
      <w:bookmarkStart w:id="5" w:name="co_footnoteReference_B00012043953917_ID0"/>
      <w:bookmarkEnd w:id="5"/>
      <w:r w:rsidR="00A13DB1" w:rsidRPr="00A13DB1">
        <w:rPr>
          <w:rFonts w:ascii="Times New Roman" w:hAnsi="Times New Roman" w:cs="Times New Roman"/>
          <w:color w:val="000000"/>
          <w:sz w:val="24"/>
          <w:szCs w:val="24"/>
        </w:rPr>
        <w:t xml:space="preserve"> The contract prices for the sunroom and the exterior patio were $53,997 and $13,000, respectively, and construction was to begin “in 4–5 weeks” from May 9, 2013, and be completed in “3–5 weeks” (sunroom) and “1–2 weeks” (exterior patio). Pena gave Blackmon a deposit of $28,000 when she signed the contracts for the project, but did not hear from him for six to seven weeks thereafter. In fact, Blackmon did not obtain a building permit until July 1, 2013—more than two weeks after construction was slated to begin and, in the case of the patio, after the patio should have been completed.</w:t>
      </w:r>
    </w:p>
    <w:p w:rsidR="00A13DB1" w:rsidRDefault="00A13DB1" w:rsidP="005A2656">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A13DB1">
        <w:rPr>
          <w:rFonts w:ascii="Times New Roman" w:hAnsi="Times New Roman" w:cs="Times New Roman"/>
          <w:color w:val="000000"/>
          <w:sz w:val="24"/>
          <w:szCs w:val="24"/>
        </w:rPr>
        <w:t>According to Pena, after viewing photographs of Blackmon’s work,</w:t>
      </w:r>
      <w:bookmarkStart w:id="6" w:name="co_footnoteReference_B00022043953917_ID0"/>
      <w:bookmarkEnd w:id="6"/>
      <w:r w:rsidRPr="00A13DB1">
        <w:rPr>
          <w:rFonts w:ascii="Times New Roman" w:hAnsi="Times New Roman" w:cs="Times New Roman"/>
          <w:color w:val="000000"/>
          <w:sz w:val="24"/>
          <w:szCs w:val="24"/>
        </w:rPr>
        <w:t xml:space="preserve"> Blackmon told her that the sunroom addition “was going to blend in with the existing building ... [a]nd that’s what I expected.” As a result, Pena believed that Blackmon would install a gabled roof on the sunroom, as depicted in his marketing materials, to match the roof of the original restaurant. However, when work on the project commenced, Pena reported being dissatisfied with Blackmon’s work. With regard to the patio, Pena cited Blackmon’s use of warped wood </w:t>
      </w:r>
      <w:bookmarkStart w:id="7" w:name="co_pp_sp_360_8_1"/>
      <w:bookmarkEnd w:id="7"/>
      <w:r w:rsidRPr="00A13DB1">
        <w:rPr>
          <w:rFonts w:ascii="Times New Roman" w:hAnsi="Times New Roman" w:cs="Times New Roman"/>
          <w:color w:val="000000"/>
          <w:sz w:val="24"/>
          <w:szCs w:val="24"/>
        </w:rPr>
        <w:t>on the pergola and the lack of any support for concrete pavers on the patio resulting in uneven flooring and puddling.</w:t>
      </w:r>
      <w:r>
        <w:rPr>
          <w:rFonts w:ascii="Times New Roman" w:hAnsi="Times New Roman" w:cs="Times New Roman"/>
          <w:color w:val="000000"/>
          <w:sz w:val="24"/>
          <w:szCs w:val="24"/>
        </w:rPr>
        <w:t xml:space="preserve">  345 Ga. App. at 7-8.</w:t>
      </w:r>
      <w:r w:rsidRPr="00A13DB1">
        <w:rPr>
          <w:rFonts w:ascii="Times New Roman" w:hAnsi="Times New Roman" w:cs="Times New Roman"/>
          <w:color w:val="000000"/>
          <w:sz w:val="24"/>
          <w:szCs w:val="24"/>
        </w:rPr>
        <w:t xml:space="preserve"> </w:t>
      </w:r>
      <w:bookmarkStart w:id="8" w:name="co_pp_sp_711_114_1"/>
      <w:bookmarkEnd w:id="8"/>
      <w:r w:rsidRPr="00A13DB1">
        <w:rPr>
          <w:rFonts w:ascii="Times New Roman" w:hAnsi="Times New Roman" w:cs="Times New Roman"/>
          <w:color w:val="000000"/>
          <w:sz w:val="24"/>
          <w:szCs w:val="24"/>
        </w:rPr>
        <w:t>Concerning the sunroom, Pena stated that Blackmon used residential doors, rather than commercial doors with a push bar, for the emergency exits, and complained that the painting was “bad,” the ceiling was too low, the flooring was “really bad,” and the exterior stucco did not match the stucco on the original building as promised.</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8.  </w:t>
      </w:r>
      <w:r w:rsidRPr="00A13DB1">
        <w:rPr>
          <w:rFonts w:ascii="Times New Roman" w:hAnsi="Times New Roman" w:cs="Times New Roman"/>
          <w:color w:val="000000"/>
          <w:sz w:val="24"/>
          <w:szCs w:val="24"/>
        </w:rPr>
        <w:t>At one point, Pena asked Blackmon and his subcontractor, Hiram “Shane” Stone, to rebuild the patio; they declined. Despite these concerns, particularly with the installation of a flat roof rather than a gabled roof as she envisioned,</w:t>
      </w:r>
      <w:bookmarkStart w:id="9" w:name="co_footnoteReference_B00032043953917_ID0"/>
      <w:bookmarkEnd w:id="9"/>
      <w:r w:rsidRPr="00A13DB1">
        <w:rPr>
          <w:rFonts w:ascii="Times New Roman" w:hAnsi="Times New Roman" w:cs="Times New Roman"/>
          <w:color w:val="000000"/>
          <w:sz w:val="24"/>
          <w:szCs w:val="24"/>
        </w:rPr>
        <w:t xml:space="preserve"> Pena neither asked Blackmon to stop </w:t>
      </w:r>
      <w:r w:rsidRPr="00A13DB1">
        <w:rPr>
          <w:rFonts w:ascii="Times New Roman" w:hAnsi="Times New Roman" w:cs="Times New Roman"/>
          <w:color w:val="000000"/>
          <w:sz w:val="24"/>
          <w:szCs w:val="24"/>
        </w:rPr>
        <w:lastRenderedPageBreak/>
        <w:t>work on the roof nor provided any concerns in writing. In fact, Blackmon always told her that he had not finished and that “[i]t’s going to be gorgeous, it’s going to look beautiful, you need to wait.”</w:t>
      </w:r>
    </w:p>
    <w:p w:rsidR="00A13DB1" w:rsidRDefault="00A13DB1" w:rsidP="00A13DB1">
      <w:pPr>
        <w:widowControl w:val="0"/>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A13DB1">
        <w:rPr>
          <w:rFonts w:ascii="Times New Roman" w:hAnsi="Times New Roman" w:cs="Times New Roman"/>
          <w:color w:val="000000"/>
          <w:sz w:val="24"/>
          <w:szCs w:val="24"/>
        </w:rPr>
        <w:t>On September 23, 2013, Pena sent Blackmon a letter instructing him to stop work on the project.</w:t>
      </w:r>
      <w:bookmarkStart w:id="10" w:name="co_footnoteReference_B00042043953917_ID0"/>
      <w:bookmarkEnd w:id="10"/>
      <w:r w:rsidRPr="00A13DB1">
        <w:rPr>
          <w:rFonts w:ascii="Times New Roman" w:hAnsi="Times New Roman" w:cs="Times New Roman"/>
          <w:color w:val="000000"/>
          <w:sz w:val="24"/>
          <w:szCs w:val="24"/>
        </w:rPr>
        <w:t xml:space="preserve"> At that point, some ten weeks after construction was due to be completed, Pena testified that neither the exterior patio nor the sunroom was functional for serving customers. </w:t>
      </w:r>
      <w:r>
        <w:rPr>
          <w:rFonts w:ascii="Times New Roman" w:hAnsi="Times New Roman" w:cs="Times New Roman"/>
          <w:color w:val="000000"/>
          <w:sz w:val="24"/>
          <w:szCs w:val="24"/>
        </w:rPr>
        <w:t xml:space="preserve"> </w:t>
      </w:r>
      <w:r w:rsidRPr="00A13DB1">
        <w:rPr>
          <w:rFonts w:ascii="Times New Roman" w:hAnsi="Times New Roman" w:cs="Times New Roman"/>
          <w:color w:val="000000"/>
          <w:sz w:val="24"/>
          <w:szCs w:val="24"/>
        </w:rPr>
        <w:t xml:space="preserve">Pena retained a new contractor, Bobby Ivey, who removed and replaced the pergola and completed work on the exterior patio and the sunroom. </w:t>
      </w:r>
      <w:r>
        <w:rPr>
          <w:rFonts w:ascii="Times New Roman" w:hAnsi="Times New Roman" w:cs="Times New Roman"/>
          <w:color w:val="000000"/>
          <w:sz w:val="24"/>
          <w:szCs w:val="24"/>
        </w:rPr>
        <w:t xml:space="preserve"> </w:t>
      </w:r>
      <w:r w:rsidRPr="00A13DB1">
        <w:rPr>
          <w:rFonts w:ascii="Times New Roman" w:hAnsi="Times New Roman" w:cs="Times New Roman"/>
          <w:color w:val="000000"/>
          <w:sz w:val="24"/>
          <w:szCs w:val="24"/>
        </w:rPr>
        <w:t xml:space="preserve">In doing so, Ivey removed the residential doors Blackmon installed and replaced them with emergency exit doors and replaced the stucco. </w:t>
      </w:r>
      <w:r>
        <w:rPr>
          <w:rFonts w:ascii="Times New Roman" w:hAnsi="Times New Roman" w:cs="Times New Roman"/>
          <w:color w:val="000000"/>
          <w:sz w:val="24"/>
          <w:szCs w:val="24"/>
        </w:rPr>
        <w:t xml:space="preserve"> </w:t>
      </w:r>
      <w:r w:rsidRPr="00A13DB1">
        <w:rPr>
          <w:rFonts w:ascii="Times New Roman" w:hAnsi="Times New Roman" w:cs="Times New Roman"/>
          <w:color w:val="000000"/>
          <w:sz w:val="24"/>
          <w:szCs w:val="24"/>
        </w:rPr>
        <w:t>Ivey also removed and replaced the flat roof of the sunroom with a gabled roof</w:t>
      </w:r>
      <w:r>
        <w:rPr>
          <w:rFonts w:ascii="Times New Roman" w:hAnsi="Times New Roman" w:cs="Times New Roman"/>
          <w:color w:val="000000"/>
          <w:sz w:val="24"/>
          <w:szCs w:val="24"/>
        </w:rPr>
        <w:t>.</w:t>
      </w:r>
    </w:p>
    <w:p w:rsidR="00374322" w:rsidRDefault="00374322" w:rsidP="00A13DB1">
      <w:pPr>
        <w:widowControl w:val="0"/>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74322">
        <w:rPr>
          <w:rFonts w:ascii="Times New Roman" w:hAnsi="Times New Roman" w:cs="Times New Roman"/>
          <w:color w:val="000000"/>
          <w:sz w:val="24"/>
          <w:szCs w:val="24"/>
        </w:rPr>
        <w:t xml:space="preserve">Blackmon denied that Pena asked for a gabled roof.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 xml:space="preserve">Instead, he claimed Pena asked about a gabled roof but balked at the price.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Regarding the quality of the work, Blackmon testified that, while an inspector required that he make certain changes to the electrical system, it and all other facets of his work ultimately passed inspection. Blackmon’s subcontractor, Stone, testified that he began working on the project in July 2013.</w:t>
      </w:r>
      <w:bookmarkStart w:id="11" w:name="co_footnoteReference_B00062043953917_ID0"/>
      <w:bookmarkEnd w:id="11"/>
      <w:r w:rsidRPr="003743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 xml:space="preserve">Blackmon gave Stone a scope of work, which included blueprints and drawings, and Stone used pre-engineered materials ordered specifically for the project. The pre-engineered materials are designed to be waterproof, and Stone </w:t>
      </w:r>
      <w:bookmarkStart w:id="12" w:name="co_pp_sp_360_9_1"/>
      <w:bookmarkEnd w:id="12"/>
      <w:r w:rsidRPr="00374322">
        <w:rPr>
          <w:rFonts w:ascii="Times New Roman" w:hAnsi="Times New Roman" w:cs="Times New Roman"/>
          <w:color w:val="000000"/>
          <w:sz w:val="24"/>
          <w:szCs w:val="24"/>
        </w:rPr>
        <w:t>never received any complaint concerning leaks at the project.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8-9.</w:t>
      </w:r>
      <w:r w:rsidRPr="003743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No one complained to Stone concerning the kind of roof being installed or attempted to stop him from performing work.</w:t>
      </w:r>
      <w:bookmarkStart w:id="13" w:name="co_footnoteReference_B00072043953917_ID0"/>
      <w:bookmarkEnd w:id="13"/>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9.</w:t>
      </w:r>
      <w:r w:rsidRPr="003743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 xml:space="preserve">When he was eventually instructed to leave the project in September 2013, Stone estimated that his work was “98 percent” complete and further testified that the project was substantially complete, including completion of the roof, windows, doors, trim, stucco, electrical system, and HVAC system.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 xml:space="preserve">In fact, Stone testified that the only work remaining to be done was cosmetic work to the concrete floor. </w:t>
      </w:r>
      <w:r>
        <w:rPr>
          <w:rFonts w:ascii="Times New Roman" w:hAnsi="Times New Roman" w:cs="Times New Roman"/>
          <w:color w:val="000000"/>
          <w:sz w:val="24"/>
          <w:szCs w:val="24"/>
        </w:rPr>
        <w:t xml:space="preserve"> </w:t>
      </w:r>
      <w:r w:rsidRPr="00374322">
        <w:rPr>
          <w:rFonts w:ascii="Times New Roman" w:hAnsi="Times New Roman" w:cs="Times New Roman"/>
          <w:color w:val="000000"/>
          <w:sz w:val="24"/>
          <w:szCs w:val="24"/>
        </w:rPr>
        <w:t>While the roof he built was a flat roof, Stone observed that the roof on the adjacent original restaurant was a gabled roof.</w:t>
      </w:r>
    </w:p>
    <w:p w:rsidR="00374322" w:rsidRDefault="00374322" w:rsidP="00152C2E">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On appeal, Blackmon argued that the </w:t>
      </w:r>
      <w:r w:rsidRPr="00374322">
        <w:rPr>
          <w:rFonts w:ascii="Times New Roman" w:hAnsi="Times New Roman" w:cs="Times New Roman"/>
          <w:color w:val="000000"/>
          <w:sz w:val="24"/>
          <w:szCs w:val="24"/>
        </w:rPr>
        <w:t>trial court “ignored” Pena’s failure to provide a written objection to his work, as required by the parties’ contracts, and instead allowed Blackmon to continue working on a roof Pena did not want.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10.</w:t>
      </w:r>
      <w:r w:rsidR="00EF2C19">
        <w:rPr>
          <w:rFonts w:ascii="Times New Roman" w:hAnsi="Times New Roman" w:cs="Times New Roman"/>
          <w:color w:val="000000"/>
          <w:sz w:val="24"/>
          <w:szCs w:val="24"/>
        </w:rPr>
        <w:t xml:space="preserve">  The Court of Appeals noted, however, that the proper inquiry for it was “</w:t>
      </w:r>
      <w:r w:rsidR="00EF2C19" w:rsidRPr="00EF2C19">
        <w:rPr>
          <w:rFonts w:ascii="Times New Roman" w:hAnsi="Times New Roman" w:cs="Times New Roman"/>
          <w:color w:val="000000"/>
          <w:sz w:val="24"/>
          <w:szCs w:val="24"/>
        </w:rPr>
        <w:t xml:space="preserve">whether there was </w:t>
      </w:r>
      <w:r w:rsidR="00EF2C19" w:rsidRPr="00EF2C19">
        <w:rPr>
          <w:rFonts w:ascii="Times New Roman" w:hAnsi="Times New Roman" w:cs="Times New Roman"/>
          <w:i/>
          <w:iCs/>
          <w:color w:val="000000"/>
          <w:sz w:val="24"/>
          <w:szCs w:val="24"/>
        </w:rPr>
        <w:t>any evidence</w:t>
      </w:r>
      <w:r w:rsidR="00EF2C19" w:rsidRPr="00EF2C19">
        <w:rPr>
          <w:rFonts w:ascii="Times New Roman" w:hAnsi="Times New Roman" w:cs="Times New Roman"/>
          <w:color w:val="000000"/>
          <w:sz w:val="24"/>
          <w:szCs w:val="24"/>
        </w:rPr>
        <w:t xml:space="preserve"> to support the trial court’s conclusion that Pena was entitled to recover for a breach of the parties’ contracts.</w:t>
      </w:r>
      <w:r w:rsidR="00EF2C19">
        <w:rPr>
          <w:rFonts w:ascii="Times New Roman" w:hAnsi="Times New Roman" w:cs="Times New Roman"/>
          <w:color w:val="000000"/>
          <w:sz w:val="24"/>
          <w:szCs w:val="24"/>
        </w:rPr>
        <w:t xml:space="preserve">”  </w:t>
      </w:r>
      <w:r w:rsidR="00EF2C19">
        <w:rPr>
          <w:rFonts w:ascii="Times New Roman" w:hAnsi="Times New Roman" w:cs="Times New Roman"/>
          <w:i/>
          <w:color w:val="000000"/>
          <w:sz w:val="24"/>
          <w:szCs w:val="24"/>
        </w:rPr>
        <w:t>Id.</w:t>
      </w:r>
      <w:r w:rsidR="00EF2C19">
        <w:rPr>
          <w:rFonts w:ascii="Times New Roman" w:hAnsi="Times New Roman" w:cs="Times New Roman"/>
          <w:color w:val="000000"/>
          <w:sz w:val="24"/>
          <w:szCs w:val="24"/>
        </w:rPr>
        <w:t xml:space="preserve"> at 11 (citing </w:t>
      </w:r>
      <w:r w:rsidR="00EF2C19">
        <w:rPr>
          <w:rFonts w:ascii="Times New Roman" w:hAnsi="Times New Roman" w:cs="Times New Roman"/>
          <w:i/>
          <w:color w:val="000000"/>
          <w:sz w:val="24"/>
          <w:szCs w:val="24"/>
        </w:rPr>
        <w:t>Infinite Energy v. Cottrell</w:t>
      </w:r>
      <w:r w:rsidR="00EF2C19">
        <w:rPr>
          <w:rFonts w:ascii="Times New Roman" w:hAnsi="Times New Roman" w:cs="Times New Roman"/>
          <w:color w:val="000000"/>
          <w:sz w:val="24"/>
          <w:szCs w:val="24"/>
        </w:rPr>
        <w:t xml:space="preserve">, 295 Ga. App. 306, 307 (2008)).  The evidence showed that </w:t>
      </w:r>
      <w:r w:rsidR="00EF2C19" w:rsidRPr="00EF2C19">
        <w:rPr>
          <w:rFonts w:ascii="Times New Roman" w:hAnsi="Times New Roman" w:cs="Times New Roman"/>
          <w:color w:val="000000"/>
          <w:sz w:val="24"/>
          <w:szCs w:val="24"/>
        </w:rPr>
        <w:t xml:space="preserve">Pena and Blackmon executed two contracts for the construction of an exterior patio and sunroom, respectively; that the sunroom contract was silent as to the type of roof to be installed; that, after discussions with Blackmon and reviewing Blackmon’s marketing materials, Pena expected Blackmon to construct a gabled roof for the sunroom that matched the roof of the existing restaurant building; that Pena never received contrary drawings or specifications for the sunroom from Blackmon; that an engineered roof as stated in the parties’ sunroom contract could refer to a gabled or “studio” roof; that Blackmon failed </w:t>
      </w:r>
      <w:bookmarkStart w:id="14" w:name="co_pp_sp_360_12_1"/>
      <w:bookmarkEnd w:id="14"/>
      <w:r w:rsidR="00EF2C19" w:rsidRPr="00EF2C19">
        <w:rPr>
          <w:rFonts w:ascii="Times New Roman" w:hAnsi="Times New Roman" w:cs="Times New Roman"/>
          <w:color w:val="000000"/>
          <w:sz w:val="24"/>
          <w:szCs w:val="24"/>
        </w:rPr>
        <w:t>to commence work within a certain time frame as required by the contracts; and that Blackmon constructed a “studio” (i.e., more flat) roof</w:t>
      </w:r>
      <w:r w:rsidR="00EF2C19">
        <w:rPr>
          <w:rFonts w:ascii="Times New Roman" w:hAnsi="Times New Roman" w:cs="Times New Roman"/>
          <w:color w:val="000000"/>
          <w:sz w:val="24"/>
          <w:szCs w:val="24"/>
        </w:rPr>
        <w:t xml:space="preserve">.  </w:t>
      </w:r>
      <w:r w:rsidR="00EF2C19">
        <w:rPr>
          <w:rFonts w:ascii="Times New Roman" w:hAnsi="Times New Roman" w:cs="Times New Roman"/>
          <w:i/>
          <w:color w:val="000000"/>
          <w:sz w:val="24"/>
          <w:szCs w:val="24"/>
        </w:rPr>
        <w:t>Id.</w:t>
      </w:r>
      <w:r w:rsidR="00EF2C19">
        <w:rPr>
          <w:rFonts w:ascii="Times New Roman" w:hAnsi="Times New Roman" w:cs="Times New Roman"/>
          <w:color w:val="000000"/>
          <w:sz w:val="24"/>
          <w:szCs w:val="24"/>
        </w:rPr>
        <w:t xml:space="preserve"> at 11-12.  </w:t>
      </w:r>
      <w:r w:rsidR="00EF2C19" w:rsidRPr="00EF2C19">
        <w:rPr>
          <w:rFonts w:ascii="Times New Roman" w:hAnsi="Times New Roman" w:cs="Times New Roman"/>
          <w:color w:val="000000"/>
          <w:sz w:val="24"/>
          <w:szCs w:val="24"/>
        </w:rPr>
        <w:t>As the trier of fact, the trial court apparently determined that Blackmon’s conflicting testimony that Pena ordered a flat roof and that he gave her plans demonstrating a flat roof was not credible.</w:t>
      </w:r>
      <w:r w:rsidR="00EF2C19">
        <w:rPr>
          <w:rFonts w:ascii="Times New Roman" w:hAnsi="Times New Roman" w:cs="Times New Roman"/>
          <w:color w:val="000000"/>
          <w:sz w:val="24"/>
          <w:szCs w:val="24"/>
        </w:rPr>
        <w:t xml:space="preserve">  </w:t>
      </w:r>
      <w:r w:rsidR="00EF2C19">
        <w:rPr>
          <w:rFonts w:ascii="Times New Roman" w:hAnsi="Times New Roman" w:cs="Times New Roman"/>
          <w:i/>
          <w:color w:val="000000"/>
          <w:sz w:val="24"/>
          <w:szCs w:val="24"/>
        </w:rPr>
        <w:t>Id.</w:t>
      </w:r>
      <w:r w:rsidR="00EF2C19">
        <w:rPr>
          <w:rFonts w:ascii="Times New Roman" w:hAnsi="Times New Roman" w:cs="Times New Roman"/>
          <w:color w:val="000000"/>
          <w:sz w:val="24"/>
          <w:szCs w:val="24"/>
        </w:rPr>
        <w:t xml:space="preserve"> at 12 n.13.</w:t>
      </w:r>
    </w:p>
    <w:p w:rsidR="00EF2C19" w:rsidRDefault="00EF2C19" w:rsidP="00A13DB1">
      <w:pPr>
        <w:widowControl w:val="0"/>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Further, the </w:t>
      </w:r>
      <w:r w:rsidRPr="00EF2C19">
        <w:rPr>
          <w:rFonts w:ascii="Times New Roman" w:hAnsi="Times New Roman" w:cs="Times New Roman"/>
          <w:color w:val="000000"/>
          <w:sz w:val="24"/>
          <w:szCs w:val="24"/>
        </w:rPr>
        <w:t>trial court found that Pena paid Ivey, the second contractor, a total of $60,748.08 for his work.</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12.</w:t>
      </w:r>
      <w:r w:rsidRPr="00EF2C19">
        <w:rPr>
          <w:rFonts w:ascii="Times New Roman" w:hAnsi="Times New Roman" w:cs="Times New Roman"/>
          <w:color w:val="000000"/>
          <w:sz w:val="24"/>
          <w:szCs w:val="24"/>
        </w:rPr>
        <w:t xml:space="preserve"> By subtracting the amount outstanding in Pena’s contract with Blackmon ($22,700) from the amount Pena paid Ivey ($60,748.08), the trial court concluded that Pena “paid $38,084[.08] more than what [she] bargained for with Mr. Blackmon” and awarded Pena $38,084.08.</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sidRPr="00EF2C19">
        <w:rPr>
          <w:rFonts w:ascii="Times New Roman" w:hAnsi="Times New Roman" w:cs="Times New Roman"/>
          <w:color w:val="000000"/>
          <w:sz w:val="24"/>
          <w:szCs w:val="24"/>
        </w:rPr>
        <w:t xml:space="preserve"> As a result, because there was some evidence to support the trial court’s conclusion, the trial court’s judgment in favor of Pena on her claim of breach of contract</w:t>
      </w:r>
      <w:r>
        <w:rPr>
          <w:rFonts w:ascii="Times New Roman" w:hAnsi="Times New Roman" w:cs="Times New Roman"/>
          <w:color w:val="000000"/>
          <w:sz w:val="24"/>
          <w:szCs w:val="24"/>
        </w:rPr>
        <w:t xml:space="preserve"> was affirmed</w:t>
      </w:r>
      <w:r w:rsidRPr="00EF2C19">
        <w:rPr>
          <w:rFonts w:ascii="Times New Roman" w:hAnsi="Times New Roman" w:cs="Times New Roman"/>
          <w:color w:val="000000"/>
          <w:sz w:val="24"/>
          <w:szCs w:val="24"/>
        </w:rPr>
        <w:t>.</w:t>
      </w:r>
    </w:p>
    <w:p w:rsidR="00400862" w:rsidRDefault="00400862" w:rsidP="00A13DB1">
      <w:pPr>
        <w:widowControl w:val="0"/>
        <w:autoSpaceDE w:val="0"/>
        <w:autoSpaceDN w:val="0"/>
        <w:adjustRightInd w:val="0"/>
        <w:spacing w:after="0"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4"/>
        </w:rPr>
        <w:tab/>
        <w:t xml:space="preserve">In </w:t>
      </w:r>
      <w:r>
        <w:rPr>
          <w:rFonts w:ascii="Times New Roman" w:hAnsi="Times New Roman" w:cs="Times New Roman"/>
          <w:i/>
          <w:color w:val="000000"/>
          <w:sz w:val="24"/>
          <w:szCs w:val="24"/>
        </w:rPr>
        <w:t>Douglas Asphalt Co. v. Martin Marietta Aggregates</w:t>
      </w:r>
      <w:r>
        <w:rPr>
          <w:rFonts w:ascii="Times New Roman" w:hAnsi="Times New Roman" w:cs="Times New Roman"/>
          <w:color w:val="000000"/>
          <w:sz w:val="24"/>
          <w:szCs w:val="24"/>
        </w:rPr>
        <w:t xml:space="preserve">, 339 Ga. App. 435 (2016), </w:t>
      </w:r>
      <w:r w:rsidRPr="00400862">
        <w:rPr>
          <w:rFonts w:ascii="Times New Roman" w:hAnsi="Times New Roman" w:cs="Times New Roman"/>
          <w:color w:val="212121"/>
          <w:sz w:val="24"/>
          <w:szCs w:val="24"/>
        </w:rPr>
        <w:t xml:space="preserve">Martin Marietta Aggregates filed a suit on account against Douglas Asphalt Company and Douglas Asphalt Paving, Inc. It alleged that Douglas Asphalt Company owed it $547,056 on an open account/line of credit under which Martin Marietta had provided </w:t>
      </w:r>
      <w:r w:rsidRPr="00400862">
        <w:rPr>
          <w:rFonts w:ascii="Times New Roman" w:hAnsi="Times New Roman" w:cs="Times New Roman"/>
          <w:color w:val="212121"/>
          <w:sz w:val="24"/>
          <w:szCs w:val="24"/>
        </w:rPr>
        <w:lastRenderedPageBreak/>
        <w:t>aggregate material to Douglas Asphalt Company on numerous occasions. It further alleged that Douglas Asphalt Paving was the successor to Douglas Asphalt Company and had assumed its debts.  The defendants answered the complaint and Douglas Asphalt Company filed a counterclaim, alleging that “pursuant to one or more agreements” between Douglas Asphalt Company and Martin Marietta, Martin Marietta was required to provide aggregate material within a specific schedule, but, on numerous occasions, it had failed to do so. Douglas Asphalt Company did not specify the occasions on which Martin Marietta allegedly failed to meet a specific schedule, but in the course of litigation, it clarified that it sought damages for delays in regard to seven particular projects that it identified as the Brantley County project, the Monroe County project, the Crisp/Turner project, the Bacon/Ware project, the Appling project, the Appling/Wayne project, and the Barco–Duval project.</w:t>
      </w:r>
      <w:r>
        <w:rPr>
          <w:rFonts w:ascii="Times New Roman" w:hAnsi="Times New Roman" w:cs="Times New Roman"/>
          <w:color w:val="212121"/>
          <w:sz w:val="24"/>
          <w:szCs w:val="24"/>
        </w:rPr>
        <w:t xml:space="preserve">  The trial court granted Martin Marietta’s motion for summary judgment on the counterclaim.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436.</w:t>
      </w:r>
    </w:p>
    <w:p w:rsidR="004E2A75" w:rsidRPr="004E2A75" w:rsidRDefault="004E2A75" w:rsidP="004E2A75">
      <w:pPr>
        <w:spacing w:line="36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ab/>
      </w:r>
      <w:r w:rsidRPr="004E2A75">
        <w:rPr>
          <w:rFonts w:ascii="Times New Roman" w:hAnsi="Times New Roman" w:cs="Times New Roman"/>
          <w:color w:val="212121"/>
          <w:sz w:val="24"/>
          <w:szCs w:val="24"/>
        </w:rPr>
        <w:t>Here, Douglas Asphalt Company alleged an unspecified number of breaches of contractual terms relating to seven particular projects. It argue</w:t>
      </w:r>
      <w:r>
        <w:rPr>
          <w:rFonts w:ascii="Times New Roman" w:hAnsi="Times New Roman" w:cs="Times New Roman"/>
          <w:color w:val="212121"/>
          <w:sz w:val="24"/>
          <w:szCs w:val="24"/>
        </w:rPr>
        <w:t>d</w:t>
      </w:r>
      <w:r w:rsidRPr="004E2A75">
        <w:rPr>
          <w:rFonts w:ascii="Times New Roman" w:hAnsi="Times New Roman" w:cs="Times New Roman"/>
          <w:color w:val="212121"/>
          <w:sz w:val="24"/>
          <w:szCs w:val="24"/>
        </w:rPr>
        <w:t xml:space="preserve"> that two different kinds of contracts between Martin Marietta and Douglas Asphalt Company governed the seven projects. The first kind of contract was a job requirements contract, in which Martin Marietta would submit a quotation to supply the materials for a specific job. According to Douglas Asphalt Company, if Douglas Asphalt selected Martin Marietta as a supplier, then Martin Marietta would prepare a sales order and occasionally send an acknowledgment of order to Douglas Asphalt Company for its files. Douglas Asphalt Company contend</w:t>
      </w:r>
      <w:r>
        <w:rPr>
          <w:rFonts w:ascii="Times New Roman" w:hAnsi="Times New Roman" w:cs="Times New Roman"/>
          <w:color w:val="212121"/>
          <w:sz w:val="24"/>
          <w:szCs w:val="24"/>
        </w:rPr>
        <w:t>ed</w:t>
      </w:r>
      <w:r w:rsidRPr="004E2A75">
        <w:rPr>
          <w:rFonts w:ascii="Times New Roman" w:hAnsi="Times New Roman" w:cs="Times New Roman"/>
          <w:color w:val="212121"/>
          <w:sz w:val="24"/>
          <w:szCs w:val="24"/>
        </w:rPr>
        <w:t xml:space="preserve"> that the Crisp/Turner, Bacon/Ware, Appling, Appling/Wayne, and Barco–Duval projects at issue in this case were governed by this type of job-specific agreement.</w:t>
      </w:r>
    </w:p>
    <w:p w:rsidR="004E2A75" w:rsidRPr="004E2A75" w:rsidRDefault="004E2A75" w:rsidP="004E2A75">
      <w:pPr>
        <w:spacing w:line="360" w:lineRule="auto"/>
        <w:ind w:firstLine="720"/>
        <w:contextualSpacing/>
        <w:rPr>
          <w:rFonts w:ascii="Times New Roman" w:hAnsi="Times New Roman" w:cs="Times New Roman"/>
          <w:color w:val="212121"/>
          <w:sz w:val="24"/>
          <w:szCs w:val="24"/>
        </w:rPr>
      </w:pPr>
      <w:r w:rsidRPr="004E2A75">
        <w:rPr>
          <w:rFonts w:ascii="Times New Roman" w:hAnsi="Times New Roman" w:cs="Times New Roman"/>
          <w:color w:val="212121"/>
          <w:sz w:val="24"/>
          <w:szCs w:val="24"/>
        </w:rPr>
        <w:t>The second kind of contract, according to Douglas Asphalt Company, was a “plant requirements agreement.” Under this type of agreement, Martin Marietta would provide Douglas Asphalt Company with a quotation for the price per ton of material from its quarries for a certain period of time.</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436-37.</w:t>
      </w:r>
      <w:r w:rsidRPr="004E2A75">
        <w:rPr>
          <w:rFonts w:ascii="Times New Roman" w:hAnsi="Times New Roman" w:cs="Times New Roman"/>
          <w:color w:val="212121"/>
          <w:sz w:val="24"/>
          <w:szCs w:val="24"/>
        </w:rPr>
        <w:t xml:space="preserve"> According to Douglas Asphalt </w:t>
      </w:r>
      <w:r w:rsidRPr="004E2A75">
        <w:rPr>
          <w:rFonts w:ascii="Times New Roman" w:hAnsi="Times New Roman" w:cs="Times New Roman"/>
          <w:color w:val="212121"/>
          <w:sz w:val="24"/>
          <w:szCs w:val="24"/>
        </w:rPr>
        <w:lastRenderedPageBreak/>
        <w:t>Company, the Brantley County and Monroe County projects at issue in this case were governed by this type of agreement.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437.</w:t>
      </w:r>
    </w:p>
    <w:p w:rsidR="004E2A75" w:rsidRDefault="004E2A75" w:rsidP="004E2A75">
      <w:pPr>
        <w:spacing w:line="360" w:lineRule="auto"/>
        <w:ind w:firstLine="720"/>
        <w:contextualSpacing/>
        <w:rPr>
          <w:rFonts w:ascii="Times New Roman" w:hAnsi="Times New Roman" w:cs="Times New Roman"/>
          <w:color w:val="212121"/>
          <w:sz w:val="24"/>
          <w:szCs w:val="24"/>
        </w:rPr>
      </w:pPr>
      <w:r w:rsidRPr="004E2A75">
        <w:rPr>
          <w:rFonts w:ascii="Times New Roman" w:hAnsi="Times New Roman" w:cs="Times New Roman"/>
          <w:color w:val="212121"/>
          <w:sz w:val="24"/>
          <w:szCs w:val="24"/>
        </w:rPr>
        <w:t>Douglas Asphalt Company argue</w:t>
      </w:r>
      <w:r>
        <w:rPr>
          <w:rFonts w:ascii="Times New Roman" w:hAnsi="Times New Roman" w:cs="Times New Roman"/>
          <w:color w:val="212121"/>
          <w:sz w:val="24"/>
          <w:szCs w:val="24"/>
        </w:rPr>
        <w:t>d</w:t>
      </w:r>
      <w:r w:rsidRPr="004E2A75">
        <w:rPr>
          <w:rFonts w:ascii="Times New Roman" w:hAnsi="Times New Roman" w:cs="Times New Roman"/>
          <w:color w:val="212121"/>
          <w:sz w:val="24"/>
          <w:szCs w:val="24"/>
        </w:rPr>
        <w:t xml:space="preserve"> that both kinds of agreements </w:t>
      </w:r>
      <w:r>
        <w:rPr>
          <w:rFonts w:ascii="Times New Roman" w:hAnsi="Times New Roman" w:cs="Times New Roman"/>
          <w:color w:val="212121"/>
          <w:sz w:val="24"/>
          <w:szCs w:val="24"/>
        </w:rPr>
        <w:t>we</w:t>
      </w:r>
      <w:r w:rsidRPr="004E2A75">
        <w:rPr>
          <w:rFonts w:ascii="Times New Roman" w:hAnsi="Times New Roman" w:cs="Times New Roman"/>
          <w:color w:val="212121"/>
          <w:sz w:val="24"/>
          <w:szCs w:val="24"/>
        </w:rPr>
        <w:t>re evidenced by two types of documents: the quotation that Martin Marietta would provide to Douglas Asphalt Company and either a sales order or acknowledgment of order that Martin Marietta would supply once Douglas Asphalt Company had accepted the quotation. It argued that under O</w:t>
      </w:r>
      <w:r>
        <w:rPr>
          <w:rFonts w:ascii="Times New Roman" w:hAnsi="Times New Roman" w:cs="Times New Roman"/>
          <w:color w:val="212121"/>
          <w:sz w:val="24"/>
          <w:szCs w:val="24"/>
        </w:rPr>
        <w:t>.</w:t>
      </w:r>
      <w:r w:rsidRPr="004E2A75">
        <w:rPr>
          <w:rFonts w:ascii="Times New Roman" w:hAnsi="Times New Roman" w:cs="Times New Roman"/>
          <w:color w:val="212121"/>
          <w:sz w:val="24"/>
          <w:szCs w:val="24"/>
        </w:rPr>
        <w:t>C</w:t>
      </w:r>
      <w:r>
        <w:rPr>
          <w:rFonts w:ascii="Times New Roman" w:hAnsi="Times New Roman" w:cs="Times New Roman"/>
          <w:color w:val="212121"/>
          <w:sz w:val="24"/>
          <w:szCs w:val="24"/>
        </w:rPr>
        <w:t>.</w:t>
      </w:r>
      <w:r w:rsidRPr="004E2A75">
        <w:rPr>
          <w:rFonts w:ascii="Times New Roman" w:hAnsi="Times New Roman" w:cs="Times New Roman"/>
          <w:color w:val="212121"/>
          <w:sz w:val="24"/>
          <w:szCs w:val="24"/>
        </w:rPr>
        <w:t>G</w:t>
      </w:r>
      <w:r>
        <w:rPr>
          <w:rFonts w:ascii="Times New Roman" w:hAnsi="Times New Roman" w:cs="Times New Roman"/>
          <w:color w:val="212121"/>
          <w:sz w:val="24"/>
          <w:szCs w:val="24"/>
        </w:rPr>
        <w:t>.</w:t>
      </w:r>
      <w:r w:rsidRPr="004E2A75">
        <w:rPr>
          <w:rFonts w:ascii="Times New Roman" w:hAnsi="Times New Roman" w:cs="Times New Roman"/>
          <w:color w:val="212121"/>
          <w:sz w:val="24"/>
          <w:szCs w:val="24"/>
        </w:rPr>
        <w:t>A</w:t>
      </w:r>
      <w:r>
        <w:rPr>
          <w:rFonts w:ascii="Times New Roman" w:hAnsi="Times New Roman" w:cs="Times New Roman"/>
          <w:color w:val="212121"/>
          <w:sz w:val="24"/>
          <w:szCs w:val="24"/>
        </w:rPr>
        <w:t>.</w:t>
      </w:r>
      <w:r w:rsidRPr="004E2A75">
        <w:rPr>
          <w:rFonts w:ascii="Times New Roman" w:hAnsi="Times New Roman" w:cs="Times New Roman"/>
          <w:color w:val="212121"/>
          <w:sz w:val="24"/>
          <w:szCs w:val="24"/>
        </w:rPr>
        <w:t xml:space="preserve"> § 11–2–309, Martin Marietta had to deliver the material within a reasonable time. It also argued that the parties</w:t>
      </w:r>
      <w:r>
        <w:rPr>
          <w:rFonts w:ascii="Times New Roman" w:hAnsi="Times New Roman" w:cs="Times New Roman"/>
          <w:color w:val="212121"/>
          <w:sz w:val="24"/>
          <w:szCs w:val="24"/>
        </w:rPr>
        <w:t>’</w:t>
      </w:r>
      <w:r w:rsidRPr="004E2A75">
        <w:rPr>
          <w:rFonts w:ascii="Times New Roman" w:hAnsi="Times New Roman" w:cs="Times New Roman"/>
          <w:color w:val="212121"/>
          <w:sz w:val="24"/>
          <w:szCs w:val="24"/>
        </w:rPr>
        <w:t xml:space="preserve"> course of conduct established that a reasonable delivery time was one week.</w:t>
      </w:r>
    </w:p>
    <w:p w:rsidR="004E2A75" w:rsidRDefault="004E2A75" w:rsidP="00307AB1">
      <w:pPr>
        <w:autoSpaceDE w:val="0"/>
        <w:autoSpaceDN w:val="0"/>
        <w:adjustRightInd w:val="0"/>
        <w:spacing w:after="0"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4"/>
        </w:rPr>
        <w:tab/>
      </w:r>
      <w:r w:rsidR="00CE76EC">
        <w:rPr>
          <w:rFonts w:ascii="Times New Roman" w:hAnsi="Times New Roman" w:cs="Times New Roman"/>
          <w:color w:val="000000"/>
          <w:sz w:val="24"/>
          <w:szCs w:val="24"/>
        </w:rPr>
        <w:t xml:space="preserve">The Court of Appeals held that </w:t>
      </w:r>
      <w:r w:rsidR="00CE76EC" w:rsidRPr="00CE76EC">
        <w:rPr>
          <w:rFonts w:ascii="Times New Roman" w:hAnsi="Times New Roman" w:cs="Times New Roman"/>
          <w:color w:val="212121"/>
          <w:sz w:val="24"/>
          <w:szCs w:val="24"/>
        </w:rPr>
        <w:t>Douglas Asphalt Company's breach of contract claim depends upon evidence that Martin Marietta violated the contractual terms governing the seven projects at issue. “[A]s the party alleging that a contract exists, [Douglas Asphalt Company would have] the burden of proving its existence and its terms</w:t>
      </w:r>
      <w:r w:rsidR="00CE76EC">
        <w:rPr>
          <w:rFonts w:ascii="Times New Roman" w:hAnsi="Times New Roman" w:cs="Times New Roman"/>
          <w:color w:val="212121"/>
          <w:sz w:val="24"/>
          <w:szCs w:val="24"/>
        </w:rPr>
        <w:t xml:space="preserve">.”  </w:t>
      </w:r>
      <w:r w:rsidR="00CE76EC">
        <w:rPr>
          <w:rFonts w:ascii="Times New Roman" w:hAnsi="Times New Roman" w:cs="Times New Roman"/>
          <w:i/>
          <w:color w:val="212121"/>
          <w:sz w:val="24"/>
          <w:szCs w:val="24"/>
        </w:rPr>
        <w:t>Id.</w:t>
      </w:r>
      <w:r w:rsidR="00CE76EC">
        <w:rPr>
          <w:rFonts w:ascii="Times New Roman" w:hAnsi="Times New Roman" w:cs="Times New Roman"/>
          <w:color w:val="212121"/>
          <w:sz w:val="24"/>
          <w:szCs w:val="24"/>
        </w:rPr>
        <w:t xml:space="preserve"> (citation omitted).  </w:t>
      </w:r>
      <w:r w:rsidR="00CE76EC" w:rsidRPr="00CE76EC">
        <w:rPr>
          <w:rFonts w:ascii="Times New Roman" w:hAnsi="Times New Roman" w:cs="Times New Roman"/>
          <w:color w:val="212121"/>
          <w:sz w:val="24"/>
          <w:szCs w:val="24"/>
        </w:rPr>
        <w:t>Douglas Asphalt Company alleged that Martin Marietta was required to provide aggregate material within a specific schedule, but, on numerous occasions, it had failed to do so. Yet it failed to point to evidence of the contractual terms imposing the specific schedules, or, in other words, the dates by which Martin Marietta had to deliver the aggregate material for these seven projects. “A contract cannot be enforced if its terms are incomplete, vague, indefinite[,] or uncertain.”</w:t>
      </w:r>
      <w:r w:rsidR="00CE76EC">
        <w:rPr>
          <w:rFonts w:ascii="Times New Roman" w:hAnsi="Times New Roman" w:cs="Times New Roman"/>
          <w:color w:val="212121"/>
          <w:sz w:val="24"/>
          <w:szCs w:val="24"/>
        </w:rPr>
        <w:t xml:space="preserve">  </w:t>
      </w:r>
      <w:r w:rsidR="00CE76EC">
        <w:rPr>
          <w:rFonts w:ascii="Times New Roman" w:hAnsi="Times New Roman" w:cs="Times New Roman"/>
          <w:i/>
          <w:color w:val="212121"/>
          <w:sz w:val="24"/>
          <w:szCs w:val="24"/>
        </w:rPr>
        <w:t>Id.</w:t>
      </w:r>
      <w:r w:rsidR="00CE76EC">
        <w:rPr>
          <w:rFonts w:ascii="Times New Roman" w:hAnsi="Times New Roman" w:cs="Times New Roman"/>
          <w:color w:val="212121"/>
          <w:sz w:val="24"/>
          <w:szCs w:val="24"/>
        </w:rPr>
        <w:t xml:space="preserve"> (citation omitted).  And although “</w:t>
      </w:r>
      <w:r w:rsidR="00CE76EC" w:rsidRPr="00CE76EC">
        <w:rPr>
          <w:rFonts w:ascii="Times New Roman" w:hAnsi="Times New Roman" w:cs="Times New Roman"/>
          <w:color w:val="212121"/>
          <w:sz w:val="24"/>
          <w:szCs w:val="24"/>
        </w:rPr>
        <w:t>some details might be supplied under the doctrines of reasonable time or reasonable requirements[,] ... indefiniteness [is] not cured [where] the agreement relied upon was so vague, indefinite and uncertain as to make it impossible for courts to determine what, if anything, was agreed upon, therefore rendering it impossible to determine whether there had been performance.</w:t>
      </w:r>
      <w:r w:rsidR="00CE76EC">
        <w:rPr>
          <w:rFonts w:ascii="Times New Roman" w:hAnsi="Times New Roman" w:cs="Times New Roman"/>
          <w:color w:val="212121"/>
          <w:sz w:val="24"/>
          <w:szCs w:val="24"/>
        </w:rPr>
        <w:t xml:space="preserve">”  </w:t>
      </w:r>
      <w:r w:rsidR="00CE76EC">
        <w:rPr>
          <w:rFonts w:ascii="Times New Roman" w:hAnsi="Times New Roman" w:cs="Times New Roman"/>
          <w:i/>
          <w:color w:val="212121"/>
          <w:sz w:val="24"/>
          <w:szCs w:val="24"/>
        </w:rPr>
        <w:t>Id.</w:t>
      </w:r>
      <w:r w:rsidR="00CE76EC">
        <w:rPr>
          <w:rFonts w:ascii="Times New Roman" w:hAnsi="Times New Roman" w:cs="Times New Roman"/>
          <w:color w:val="212121"/>
          <w:sz w:val="24"/>
          <w:szCs w:val="24"/>
        </w:rPr>
        <w:t xml:space="preserve"> at 437-38.  </w:t>
      </w:r>
      <w:r w:rsidR="00CE76EC" w:rsidRPr="00CE76EC">
        <w:rPr>
          <w:rFonts w:ascii="Times New Roman" w:hAnsi="Times New Roman" w:cs="Times New Roman"/>
          <w:color w:val="212121"/>
          <w:sz w:val="24"/>
          <w:szCs w:val="24"/>
        </w:rPr>
        <w:t>Without pointing to evidence of the contractually required delivery dates for the materials for the seven projects, Douglas Asphalt Company cannot show that Martin Marietta failed to deliver the materials in a timely manner</w:t>
      </w:r>
      <w:r w:rsidR="00CE76EC">
        <w:rPr>
          <w:rFonts w:ascii="Times New Roman" w:hAnsi="Times New Roman" w:cs="Times New Roman"/>
          <w:color w:val="212121"/>
          <w:sz w:val="24"/>
          <w:szCs w:val="24"/>
        </w:rPr>
        <w:t>,</w:t>
      </w:r>
      <w:r w:rsidR="00CE76EC" w:rsidRPr="00CE76EC">
        <w:rPr>
          <w:rFonts w:ascii="Times New Roman" w:hAnsi="Times New Roman" w:cs="Times New Roman"/>
          <w:color w:val="212121"/>
          <w:sz w:val="24"/>
          <w:szCs w:val="24"/>
        </w:rPr>
        <w:t xml:space="preserve"> </w:t>
      </w:r>
      <w:r w:rsidR="00CE76EC">
        <w:rPr>
          <w:rFonts w:ascii="Times New Roman" w:hAnsi="Times New Roman" w:cs="Times New Roman"/>
          <w:color w:val="212121"/>
          <w:sz w:val="24"/>
          <w:szCs w:val="24"/>
        </w:rPr>
        <w:t>and it failed to point</w:t>
      </w:r>
      <w:r w:rsidR="00CE76EC" w:rsidRPr="00CE76EC">
        <w:rPr>
          <w:rFonts w:ascii="Times New Roman" w:hAnsi="Times New Roman" w:cs="Times New Roman"/>
          <w:color w:val="212121"/>
          <w:sz w:val="24"/>
          <w:szCs w:val="24"/>
        </w:rPr>
        <w:t> “to specific evidence giving rise to a triable issue.”</w:t>
      </w:r>
      <w:r w:rsidR="00CE76EC">
        <w:rPr>
          <w:rFonts w:ascii="Times New Roman" w:hAnsi="Times New Roman" w:cs="Times New Roman"/>
          <w:color w:val="212121"/>
          <w:sz w:val="24"/>
          <w:szCs w:val="24"/>
        </w:rPr>
        <w:t xml:space="preserve">  </w:t>
      </w:r>
      <w:r w:rsidR="00CE76EC">
        <w:rPr>
          <w:rFonts w:ascii="Times New Roman" w:hAnsi="Times New Roman" w:cs="Times New Roman"/>
          <w:i/>
          <w:color w:val="212121"/>
          <w:sz w:val="24"/>
          <w:szCs w:val="24"/>
        </w:rPr>
        <w:t>Id.</w:t>
      </w:r>
      <w:r w:rsidR="00CE76EC">
        <w:rPr>
          <w:rFonts w:ascii="Times New Roman" w:hAnsi="Times New Roman" w:cs="Times New Roman"/>
          <w:color w:val="212121"/>
          <w:sz w:val="24"/>
          <w:szCs w:val="24"/>
        </w:rPr>
        <w:t xml:space="preserve"> at 438 (citation omitted).</w:t>
      </w:r>
    </w:p>
    <w:p w:rsidR="00B764D9" w:rsidRDefault="00B764D9" w:rsidP="00307AB1">
      <w:pPr>
        <w:autoSpaceDE w:val="0"/>
        <w:autoSpaceDN w:val="0"/>
        <w:adjustRightInd w:val="0"/>
        <w:spacing w:after="0" w:line="360" w:lineRule="auto"/>
        <w:contextualSpacing/>
        <w:rPr>
          <w:rFonts w:ascii="Times New Roman" w:hAnsi="Times New Roman" w:cs="Times New Roman"/>
          <w:color w:val="212121"/>
          <w:sz w:val="24"/>
          <w:szCs w:val="24"/>
        </w:rPr>
      </w:pPr>
    </w:p>
    <w:p w:rsidR="00A27D49" w:rsidRDefault="00A27D49" w:rsidP="003A4243">
      <w:pPr>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Pr>
          <w:rFonts w:ascii="Times New Roman" w:hAnsi="Times New Roman" w:cs="Times New Roman"/>
          <w:b/>
          <w:sz w:val="24"/>
          <w:szCs w:val="24"/>
          <w:u w:val="single"/>
        </w:rPr>
        <w:t>Advanced Remedies for Breach</w:t>
      </w:r>
    </w:p>
    <w:p w:rsidR="00A27D49" w:rsidRDefault="00F21ABA"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elements for a breach of contract claim in Georgia are the (1) breach and the (2) resultant damages (3) to the party who has the right to complain about the contract being broken.”  </w:t>
      </w:r>
      <w:r w:rsidR="00644208">
        <w:rPr>
          <w:rFonts w:ascii="Times New Roman" w:hAnsi="Times New Roman" w:cs="Times New Roman"/>
          <w:i/>
          <w:sz w:val="24"/>
          <w:szCs w:val="24"/>
        </w:rPr>
        <w:t>Roberts v. DuPont Pine Prods., LLC</w:t>
      </w:r>
      <w:r w:rsidR="00644208">
        <w:rPr>
          <w:rFonts w:ascii="Times New Roman" w:hAnsi="Times New Roman" w:cs="Times New Roman"/>
          <w:sz w:val="24"/>
          <w:szCs w:val="24"/>
        </w:rPr>
        <w:t xml:space="preserve">, 352 Ga. App. 659, 662 (2019) (quoting </w:t>
      </w:r>
      <w:r w:rsidR="00644208">
        <w:rPr>
          <w:rFonts w:ascii="Times New Roman" w:hAnsi="Times New Roman" w:cs="Times New Roman"/>
          <w:i/>
          <w:sz w:val="24"/>
          <w:szCs w:val="24"/>
        </w:rPr>
        <w:t>Houghton v. Sacor Fin.</w:t>
      </w:r>
      <w:r w:rsidR="00644208">
        <w:rPr>
          <w:rFonts w:ascii="Times New Roman" w:hAnsi="Times New Roman" w:cs="Times New Roman"/>
          <w:sz w:val="24"/>
          <w:szCs w:val="24"/>
        </w:rPr>
        <w:t>, 337 Ga. App. 254, 256 (2016)).</w:t>
      </w:r>
      <w:r>
        <w:rPr>
          <w:rFonts w:ascii="Times New Roman" w:hAnsi="Times New Roman" w:cs="Times New Roman"/>
          <w:sz w:val="24"/>
          <w:szCs w:val="24"/>
        </w:rPr>
        <w:t xml:space="preserve">  “A breach occurs if a contracting party repudiates or renounces liability under the contract; fails to perform the engagement as specified in the contract; or does some act that renders performance impossible.”  </w:t>
      </w:r>
      <w:r>
        <w:rPr>
          <w:rFonts w:ascii="Times New Roman" w:hAnsi="Times New Roman" w:cs="Times New Roman"/>
          <w:i/>
          <w:sz w:val="24"/>
          <w:szCs w:val="24"/>
        </w:rPr>
        <w:t>UWork.com, Inc. v. Paragon Techs., Inc.</w:t>
      </w:r>
      <w:r>
        <w:rPr>
          <w:rFonts w:ascii="Times New Roman" w:hAnsi="Times New Roman" w:cs="Times New Roman"/>
          <w:sz w:val="24"/>
          <w:szCs w:val="24"/>
        </w:rPr>
        <w:t xml:space="preserve">, 321 Ga. App. 584, 590 (2013) (citing </w:t>
      </w:r>
      <w:r>
        <w:rPr>
          <w:rFonts w:ascii="Times New Roman" w:hAnsi="Times New Roman" w:cs="Times New Roman"/>
          <w:i/>
          <w:sz w:val="24"/>
          <w:szCs w:val="24"/>
        </w:rPr>
        <w:t>Bd. of Regents of the Univ. Sys. of Ga. v. Doe</w:t>
      </w:r>
      <w:r>
        <w:rPr>
          <w:rFonts w:ascii="Times New Roman" w:hAnsi="Times New Roman" w:cs="Times New Roman"/>
          <w:sz w:val="24"/>
          <w:szCs w:val="24"/>
        </w:rPr>
        <w:t>, 278 Ga. App. 878, 887 (2006)).</w:t>
      </w:r>
    </w:p>
    <w:p w:rsidR="00C57D2F" w:rsidRDefault="00C57D2F"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“Restitution, damages and specific performance are the three remedies for breach of contract.”  </w:t>
      </w:r>
      <w:r>
        <w:rPr>
          <w:rFonts w:ascii="Times New Roman" w:hAnsi="Times New Roman" w:cs="Times New Roman"/>
          <w:i/>
          <w:sz w:val="24"/>
          <w:szCs w:val="24"/>
        </w:rPr>
        <w:t>City of Union Point v. Greene County</w:t>
      </w:r>
      <w:r>
        <w:rPr>
          <w:rFonts w:ascii="Times New Roman" w:hAnsi="Times New Roman" w:cs="Times New Roman"/>
          <w:sz w:val="24"/>
          <w:szCs w:val="24"/>
        </w:rPr>
        <w:t xml:space="preserve">, 303 Ga. 449, 455 (2018) (quoting </w:t>
      </w:r>
      <w:r>
        <w:rPr>
          <w:rFonts w:ascii="Times New Roman" w:hAnsi="Times New Roman" w:cs="Times New Roman"/>
          <w:i/>
          <w:sz w:val="24"/>
          <w:szCs w:val="24"/>
        </w:rPr>
        <w:t>PMS Constr. Co. v. DeKalb County</w:t>
      </w:r>
      <w:r>
        <w:rPr>
          <w:rFonts w:ascii="Times New Roman" w:hAnsi="Times New Roman" w:cs="Times New Roman"/>
          <w:sz w:val="24"/>
          <w:szCs w:val="24"/>
        </w:rPr>
        <w:t>, 243 Ga. 870, 872 (1979)).</w:t>
      </w:r>
    </w:p>
    <w:p w:rsidR="00C57D2F" w:rsidRDefault="00C57D2F"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t>Damages</w:t>
      </w:r>
    </w:p>
    <w:p w:rsidR="00556E22" w:rsidRPr="00556E22" w:rsidRDefault="00C57D2F" w:rsidP="00A27D49">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sidR="00556E22">
        <w:rPr>
          <w:rFonts w:ascii="Times New Roman" w:hAnsi="Times New Roman" w:cs="Times New Roman"/>
          <w:sz w:val="24"/>
          <w:szCs w:val="24"/>
        </w:rPr>
        <w:tab/>
      </w:r>
      <w:r w:rsidR="00556E22">
        <w:rPr>
          <w:rFonts w:ascii="Times New Roman" w:hAnsi="Times New Roman" w:cs="Times New Roman"/>
          <w:b/>
          <w:sz w:val="24"/>
          <w:szCs w:val="24"/>
        </w:rPr>
        <w:t>1.</w:t>
      </w:r>
      <w:r w:rsidR="00556E22">
        <w:rPr>
          <w:rFonts w:ascii="Times New Roman" w:hAnsi="Times New Roman" w:cs="Times New Roman"/>
          <w:b/>
          <w:sz w:val="24"/>
          <w:szCs w:val="24"/>
        </w:rPr>
        <w:tab/>
        <w:t>Measure of damages, generally</w:t>
      </w:r>
    </w:p>
    <w:p w:rsidR="00C57D2F" w:rsidRPr="000330A4" w:rsidRDefault="00556E22" w:rsidP="00556E2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00EF0F1B">
        <w:rPr>
          <w:rFonts w:ascii="Times New Roman" w:hAnsi="Times New Roman" w:cs="Times New Roman"/>
          <w:sz w:val="24"/>
          <w:szCs w:val="24"/>
        </w:rPr>
        <w:t xml:space="preserve">amages are “intended to place an injured party, as nearly as possible, in the same position they would have been if the injury had never occurred.  Juries, therefore, are given wide latitude in determining the amount of damages to be awarded based on the unique facts of each case.”  </w:t>
      </w:r>
      <w:r w:rsidR="00EF0F1B">
        <w:rPr>
          <w:rFonts w:ascii="Times New Roman" w:hAnsi="Times New Roman" w:cs="Times New Roman"/>
          <w:i/>
          <w:sz w:val="24"/>
          <w:szCs w:val="24"/>
        </w:rPr>
        <w:t>John Thurmond &amp; Assocs., Inc. v. Kennedy</w:t>
      </w:r>
      <w:r w:rsidR="00EF0F1B">
        <w:rPr>
          <w:rFonts w:ascii="Times New Roman" w:hAnsi="Times New Roman" w:cs="Times New Roman"/>
          <w:sz w:val="24"/>
          <w:szCs w:val="24"/>
        </w:rPr>
        <w:t>, 284 Ga. 469, 469 (2008) (citations omitted).</w:t>
      </w:r>
      <w:r w:rsidR="000330A4">
        <w:rPr>
          <w:rFonts w:ascii="Times New Roman" w:hAnsi="Times New Roman" w:cs="Times New Roman"/>
          <w:sz w:val="24"/>
          <w:szCs w:val="24"/>
        </w:rPr>
        <w:t xml:space="preserve">  </w:t>
      </w:r>
      <w:r w:rsidR="000330A4">
        <w:rPr>
          <w:rFonts w:ascii="Times New Roman" w:hAnsi="Times New Roman" w:cs="Times New Roman"/>
          <w:i/>
          <w:sz w:val="24"/>
          <w:szCs w:val="24"/>
        </w:rPr>
        <w:t>See also Firmani v. Dar-Court Builders, LLC</w:t>
      </w:r>
      <w:r w:rsidR="000330A4">
        <w:rPr>
          <w:rFonts w:ascii="Times New Roman" w:hAnsi="Times New Roman" w:cs="Times New Roman"/>
          <w:sz w:val="24"/>
          <w:szCs w:val="24"/>
        </w:rPr>
        <w:t xml:space="preserve">, 339 Ga. App. 413, 424 (2016).  </w:t>
      </w:r>
      <w:r w:rsidR="000330A4" w:rsidRPr="000330A4">
        <w:rPr>
          <w:rFonts w:ascii="Times New Roman" w:hAnsi="Times New Roman" w:cs="Times New Roman"/>
          <w:color w:val="212121"/>
          <w:sz w:val="24"/>
          <w:szCs w:val="21"/>
        </w:rPr>
        <w:t>“Before [a] verdict will be set aside on the ground that it is excessive, where there is no direct proof of prejudice or bias, the amount thereof, when considered in connection with all the facts, must shock the moral sense, appear exorbitant, flagrantly outrageous, and extravagant.”</w:t>
      </w:r>
      <w:r w:rsidR="000330A4">
        <w:rPr>
          <w:rFonts w:ascii="Times New Roman" w:hAnsi="Times New Roman" w:cs="Times New Roman"/>
          <w:color w:val="212121"/>
          <w:sz w:val="24"/>
          <w:szCs w:val="21"/>
        </w:rPr>
        <w:t xml:space="preserve">  </w:t>
      </w:r>
      <w:r w:rsidR="000330A4">
        <w:rPr>
          <w:rFonts w:ascii="Times New Roman" w:hAnsi="Times New Roman" w:cs="Times New Roman"/>
          <w:i/>
          <w:color w:val="212121"/>
          <w:sz w:val="24"/>
          <w:szCs w:val="21"/>
        </w:rPr>
        <w:t>Caldwell v. Church</w:t>
      </w:r>
      <w:r w:rsidR="000330A4">
        <w:rPr>
          <w:rFonts w:ascii="Times New Roman" w:hAnsi="Times New Roman" w:cs="Times New Roman"/>
          <w:color w:val="212121"/>
          <w:sz w:val="24"/>
          <w:szCs w:val="21"/>
        </w:rPr>
        <w:t xml:space="preserve">, 353 Ga. App. 141, 146 (2019) (quoting </w:t>
      </w:r>
      <w:r w:rsidR="000330A4">
        <w:rPr>
          <w:rFonts w:ascii="Times New Roman" w:hAnsi="Times New Roman" w:cs="Times New Roman"/>
          <w:i/>
          <w:color w:val="212121"/>
          <w:sz w:val="24"/>
          <w:szCs w:val="21"/>
        </w:rPr>
        <w:t>Chrysler Group v. Walden</w:t>
      </w:r>
      <w:r w:rsidR="000330A4">
        <w:rPr>
          <w:rFonts w:ascii="Times New Roman" w:hAnsi="Times New Roman" w:cs="Times New Roman"/>
          <w:color w:val="212121"/>
          <w:sz w:val="24"/>
          <w:szCs w:val="21"/>
        </w:rPr>
        <w:t>, 339 Ga. App. 733, 749 (2016)).</w:t>
      </w:r>
    </w:p>
    <w:p w:rsidR="00EF0F1B" w:rsidRPr="008114E8" w:rsidRDefault="00EF0F1B"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22A21">
        <w:rPr>
          <w:rFonts w:ascii="Times New Roman" w:hAnsi="Times New Roman" w:cs="Times New Roman"/>
          <w:sz w:val="24"/>
          <w:szCs w:val="24"/>
        </w:rPr>
        <w:t xml:space="preserve">“The measure of damages in the case of a breach of contract is the amount which will compensate the injured person for the loss which fulfillment of the contract would have prevented or the breach of it entailed.  In other words, the person injured, is, so far as it is possible to do so by a monetary award, to be placed in the position he would have been in had the contract been performed.”  </w:t>
      </w:r>
      <w:r w:rsidR="00122A21">
        <w:rPr>
          <w:rFonts w:ascii="Times New Roman" w:hAnsi="Times New Roman" w:cs="Times New Roman"/>
          <w:i/>
          <w:sz w:val="24"/>
          <w:szCs w:val="24"/>
        </w:rPr>
        <w:t>Austin v. Bank of Am., N.A.</w:t>
      </w:r>
      <w:r w:rsidR="00122A21">
        <w:rPr>
          <w:rFonts w:ascii="Times New Roman" w:hAnsi="Times New Roman" w:cs="Times New Roman"/>
          <w:sz w:val="24"/>
          <w:szCs w:val="24"/>
        </w:rPr>
        <w:t xml:space="preserve">, 293 Ga. 42, 49 </w:t>
      </w:r>
      <w:r w:rsidR="00122A21">
        <w:rPr>
          <w:rFonts w:ascii="Times New Roman" w:hAnsi="Times New Roman" w:cs="Times New Roman"/>
          <w:sz w:val="24"/>
          <w:szCs w:val="24"/>
        </w:rPr>
        <w:lastRenderedPageBreak/>
        <w:t xml:space="preserve">(2013) (quoting </w:t>
      </w:r>
      <w:r w:rsidR="00122A21">
        <w:rPr>
          <w:rFonts w:ascii="Times New Roman" w:hAnsi="Times New Roman" w:cs="Times New Roman"/>
          <w:i/>
          <w:sz w:val="24"/>
          <w:szCs w:val="24"/>
        </w:rPr>
        <w:t>Redman Dev. Corp. v. Piedmont Heating &amp; Air Conditioning, Inc.</w:t>
      </w:r>
      <w:r w:rsidR="00122A21">
        <w:rPr>
          <w:rFonts w:ascii="Times New Roman" w:hAnsi="Times New Roman" w:cs="Times New Roman"/>
          <w:sz w:val="24"/>
          <w:szCs w:val="24"/>
        </w:rPr>
        <w:t xml:space="preserve">, 128 Ga. App. 447, 451 (1973)).  When a contract is breached, “the best measure of the value of the broken promise is the value assigned to it by the parties themselves … [B]asing damages on an amount equal to what the promisor and, especially, the promisee believed the promise to be worth, reflects better than any other measure the loss caused by the breach[.] … Damages based on protection of the promisee’s expectation interest are not only the most accurate means of measuring loss following a breach of contract but also the most typical measure of recovery granted.”  </w:t>
      </w:r>
      <w:r w:rsidR="00122A21">
        <w:rPr>
          <w:rFonts w:ascii="Times New Roman" w:hAnsi="Times New Roman" w:cs="Times New Roman"/>
          <w:i/>
          <w:sz w:val="24"/>
          <w:szCs w:val="24"/>
        </w:rPr>
        <w:t>Legacy Academy, Inc. v. JLK, Inc.</w:t>
      </w:r>
      <w:r w:rsidR="00122A21">
        <w:rPr>
          <w:rFonts w:ascii="Times New Roman" w:hAnsi="Times New Roman" w:cs="Times New Roman"/>
          <w:sz w:val="24"/>
          <w:szCs w:val="24"/>
        </w:rPr>
        <w:t>, 330 Ga. App. 397, 405-06 (2014) (quoting 24 Williston on Contracts, § 64:2 (4th ed., 2014)).</w:t>
      </w:r>
      <w:r w:rsidR="00417E01">
        <w:rPr>
          <w:rFonts w:ascii="Times New Roman" w:hAnsi="Times New Roman" w:cs="Times New Roman"/>
          <w:sz w:val="24"/>
          <w:szCs w:val="24"/>
        </w:rPr>
        <w:t xml:space="preserve">  Damages for breach of contract claims “are compensatory awards designed to give the injured party the benefit of his bargain.”  </w:t>
      </w:r>
      <w:r w:rsidR="00417E01">
        <w:rPr>
          <w:rFonts w:ascii="Times New Roman" w:hAnsi="Times New Roman" w:cs="Times New Roman"/>
          <w:i/>
          <w:sz w:val="24"/>
          <w:szCs w:val="24"/>
        </w:rPr>
        <w:t>Id.</w:t>
      </w:r>
      <w:r w:rsidR="00417E01">
        <w:rPr>
          <w:rFonts w:ascii="Times New Roman" w:hAnsi="Times New Roman" w:cs="Times New Roman"/>
          <w:sz w:val="24"/>
          <w:szCs w:val="24"/>
        </w:rPr>
        <w:t xml:space="preserve"> at 406 (quoting </w:t>
      </w:r>
      <w:r w:rsidR="00417E01">
        <w:rPr>
          <w:rFonts w:ascii="Times New Roman" w:hAnsi="Times New Roman" w:cs="Times New Roman"/>
          <w:i/>
          <w:sz w:val="24"/>
          <w:szCs w:val="24"/>
        </w:rPr>
        <w:t>Turner Broad. Sys., Inc. v. McDavid</w:t>
      </w:r>
      <w:r w:rsidR="00417E01">
        <w:rPr>
          <w:rFonts w:ascii="Times New Roman" w:hAnsi="Times New Roman" w:cs="Times New Roman"/>
          <w:sz w:val="24"/>
          <w:szCs w:val="24"/>
        </w:rPr>
        <w:t>, 303 Ga. App. 593, 611 (2010)).</w:t>
      </w:r>
      <w:r w:rsidR="008114E8">
        <w:rPr>
          <w:rFonts w:ascii="Times New Roman" w:hAnsi="Times New Roman" w:cs="Times New Roman"/>
          <w:sz w:val="24"/>
          <w:szCs w:val="24"/>
        </w:rPr>
        <w:t xml:space="preserve">  Further, the calculation of damages should be flexible.  </w:t>
      </w:r>
      <w:r w:rsidR="008114E8">
        <w:rPr>
          <w:rFonts w:ascii="Times New Roman" w:hAnsi="Times New Roman" w:cs="Times New Roman"/>
          <w:i/>
          <w:sz w:val="24"/>
          <w:szCs w:val="24"/>
        </w:rPr>
        <w:t>Id.</w:t>
      </w:r>
    </w:p>
    <w:p w:rsidR="00417E01" w:rsidRDefault="00417E01"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“Ordinarily, anticipated profits are too speculative to be recovered, but where the business has been established, has made profits and there are definite, certain and reasonable data for their ascertainment, and such profits were in contemplation of the parties are the time of the contract, they may be recovered even though they can not be </w:t>
      </w:r>
      <w:r w:rsidR="00E316FA">
        <w:rPr>
          <w:rFonts w:ascii="Times New Roman" w:hAnsi="Times New Roman" w:cs="Times New Roman"/>
          <w:sz w:val="24"/>
          <w:szCs w:val="24"/>
        </w:rPr>
        <w:t xml:space="preserve">computed with exact mathematical certainty.”  </w:t>
      </w:r>
      <w:r w:rsidR="00E316FA">
        <w:rPr>
          <w:rFonts w:ascii="Times New Roman" w:hAnsi="Times New Roman" w:cs="Times New Roman"/>
          <w:i/>
          <w:sz w:val="24"/>
          <w:szCs w:val="24"/>
        </w:rPr>
        <w:t>Legacy Academy, Inc. v. Dole</w:t>
      </w:r>
      <w:r w:rsidR="008114E8">
        <w:rPr>
          <w:rFonts w:ascii="Times New Roman" w:hAnsi="Times New Roman" w:cs="Times New Roman"/>
          <w:i/>
          <w:sz w:val="24"/>
          <w:szCs w:val="24"/>
        </w:rPr>
        <w:t>s</w:t>
      </w:r>
      <w:r w:rsidR="00E316FA">
        <w:rPr>
          <w:rFonts w:ascii="Times New Roman" w:hAnsi="Times New Roman" w:cs="Times New Roman"/>
          <w:i/>
          <w:sz w:val="24"/>
          <w:szCs w:val="24"/>
        </w:rPr>
        <w:t>-Smith Enters., Inc.</w:t>
      </w:r>
      <w:r w:rsidR="00E316FA">
        <w:rPr>
          <w:rFonts w:ascii="Times New Roman" w:hAnsi="Times New Roman" w:cs="Times New Roman"/>
          <w:sz w:val="24"/>
          <w:szCs w:val="24"/>
        </w:rPr>
        <w:t xml:space="preserve">, 337 Ga. App. 575, 585 (2016) (quoting </w:t>
      </w:r>
      <w:r w:rsidR="00E316FA">
        <w:rPr>
          <w:rFonts w:ascii="Times New Roman" w:hAnsi="Times New Roman" w:cs="Times New Roman"/>
          <w:i/>
          <w:sz w:val="24"/>
          <w:szCs w:val="24"/>
        </w:rPr>
        <w:t>KAR Printing v. Pierce</w:t>
      </w:r>
      <w:r w:rsidR="00E316FA">
        <w:rPr>
          <w:rFonts w:ascii="Times New Roman" w:hAnsi="Times New Roman" w:cs="Times New Roman"/>
          <w:sz w:val="24"/>
          <w:szCs w:val="24"/>
        </w:rPr>
        <w:t xml:space="preserve">, 276 Ga. App. 511, 511-12 (2005)).  “Nonetheless, to recover lost profits one must show the probable gain with great specificity as well as expenses incurred in realizing such profits.  In short, the gross amount minus expenses equals the amount of recovery.”  </w:t>
      </w:r>
      <w:r w:rsidR="00E316FA">
        <w:rPr>
          <w:rFonts w:ascii="Times New Roman" w:hAnsi="Times New Roman" w:cs="Times New Roman"/>
          <w:i/>
          <w:sz w:val="24"/>
          <w:szCs w:val="24"/>
        </w:rPr>
        <w:t>Id.</w:t>
      </w:r>
    </w:p>
    <w:p w:rsidR="00556E22" w:rsidRDefault="00556E22"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t>Liquidated damages</w:t>
      </w:r>
    </w:p>
    <w:p w:rsidR="0057280C" w:rsidRPr="008114E8" w:rsidRDefault="00556E22" w:rsidP="0057280C">
      <w:pPr>
        <w:spacing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ab/>
        <w:t>“</w:t>
      </w:r>
      <w:r w:rsidRPr="00556E22">
        <w:rPr>
          <w:rFonts w:ascii="Times New Roman" w:hAnsi="Times New Roman" w:cs="Times New Roman"/>
          <w:color w:val="212121"/>
          <w:sz w:val="24"/>
          <w:szCs w:val="24"/>
        </w:rPr>
        <w:t>If the parties agree in their contract what the damages for a breach shall be, they are said to be liquidated and, unless the agreement violates some principle of law, the parties are bound thereby.</w:t>
      </w:r>
      <w:r>
        <w:rPr>
          <w:rFonts w:ascii="Times New Roman" w:hAnsi="Times New Roman" w:cs="Times New Roman"/>
          <w:color w:val="212121"/>
          <w:sz w:val="24"/>
          <w:szCs w:val="24"/>
        </w:rPr>
        <w:t>”  O.C.G.A. § 13-6-7.  “</w:t>
      </w:r>
      <w:r w:rsidRPr="00556E22">
        <w:rPr>
          <w:rFonts w:ascii="Times New Roman" w:hAnsi="Times New Roman" w:cs="Times New Roman"/>
          <w:color w:val="000000"/>
          <w:sz w:val="24"/>
          <w:szCs w:val="24"/>
        </w:rPr>
        <w:t>Georgia law allows parties to provide for liquidated damages in their contracts, and unless the provision violates some principle of law, the parties are bound by their agreement.”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Gwinnett Clinic, Ltd. v. Boaten</w:t>
      </w:r>
      <w:r>
        <w:rPr>
          <w:rFonts w:ascii="Times New Roman" w:hAnsi="Times New Roman" w:cs="Times New Roman"/>
          <w:color w:val="000000"/>
          <w:sz w:val="24"/>
          <w:szCs w:val="24"/>
        </w:rPr>
        <w:t xml:space="preserve">, 340 Ga. App. 598, 599 (2017) (quoting </w:t>
      </w:r>
      <w:r>
        <w:rPr>
          <w:rFonts w:ascii="Times New Roman" w:hAnsi="Times New Roman" w:cs="Times New Roman"/>
          <w:i/>
          <w:color w:val="000000"/>
          <w:sz w:val="24"/>
          <w:szCs w:val="24"/>
        </w:rPr>
        <w:t xml:space="preserve">Mariner Health Care Mgmt. Co. v. Sovereign </w:t>
      </w:r>
      <w:r>
        <w:rPr>
          <w:rFonts w:ascii="Times New Roman" w:hAnsi="Times New Roman" w:cs="Times New Roman"/>
          <w:i/>
          <w:color w:val="000000"/>
          <w:sz w:val="24"/>
          <w:szCs w:val="24"/>
        </w:rPr>
        <w:lastRenderedPageBreak/>
        <w:t>Healthcare</w:t>
      </w:r>
      <w:r>
        <w:rPr>
          <w:rFonts w:ascii="Times New Roman" w:hAnsi="Times New Roman" w:cs="Times New Roman"/>
          <w:color w:val="000000"/>
          <w:sz w:val="24"/>
          <w:szCs w:val="24"/>
        </w:rPr>
        <w:t xml:space="preserve">, 306 Ga. App. 873, 874 (2010)).  </w:t>
      </w:r>
      <w:r w:rsidR="00822C97" w:rsidRPr="00822C97">
        <w:rPr>
          <w:rFonts w:ascii="Times New Roman" w:hAnsi="Times New Roman" w:cs="Times New Roman"/>
          <w:color w:val="000000"/>
          <w:sz w:val="24"/>
          <w:szCs w:val="24"/>
        </w:rPr>
        <w:t>“[A] liquidated damages clause is enforceable if (1) the injury caused by the breach of the contract is difficult or impossible to accurately estimate; (2) the parties intended to provide for damages rather than a pen</w:t>
      </w:r>
      <w:r w:rsidR="00822C97">
        <w:rPr>
          <w:rFonts w:ascii="Times New Roman" w:hAnsi="Times New Roman" w:cs="Times New Roman"/>
          <w:color w:val="000000"/>
          <w:sz w:val="24"/>
          <w:szCs w:val="24"/>
        </w:rPr>
        <w:t>a</w:t>
      </w:r>
      <w:r w:rsidR="00822C97" w:rsidRPr="00822C97">
        <w:rPr>
          <w:rFonts w:ascii="Times New Roman" w:hAnsi="Times New Roman" w:cs="Times New Roman"/>
          <w:color w:val="000000"/>
          <w:sz w:val="24"/>
          <w:szCs w:val="24"/>
        </w:rPr>
        <w:t>lty; and (3) the sum stipulated upon by the parties is a reasonable pre-estimate of the probable loss.”</w:t>
      </w:r>
      <w:r w:rsidR="00822C97">
        <w:rPr>
          <w:rFonts w:ascii="Times New Roman" w:hAnsi="Times New Roman" w:cs="Times New Roman"/>
          <w:color w:val="000000"/>
          <w:sz w:val="24"/>
          <w:szCs w:val="24"/>
        </w:rPr>
        <w:t xml:space="preserve">  </w:t>
      </w:r>
      <w:r w:rsidR="00822C97">
        <w:rPr>
          <w:rFonts w:ascii="Times New Roman" w:hAnsi="Times New Roman" w:cs="Times New Roman"/>
          <w:i/>
          <w:color w:val="000000"/>
          <w:sz w:val="24"/>
          <w:szCs w:val="24"/>
        </w:rPr>
        <w:t>Id.</w:t>
      </w:r>
      <w:r w:rsidR="00822C97">
        <w:rPr>
          <w:rFonts w:ascii="Times New Roman" w:hAnsi="Times New Roman" w:cs="Times New Roman"/>
          <w:color w:val="000000"/>
          <w:sz w:val="24"/>
          <w:szCs w:val="24"/>
        </w:rPr>
        <w:t xml:space="preserve"> (quoting </w:t>
      </w:r>
      <w:r w:rsidR="00822C97">
        <w:rPr>
          <w:rFonts w:ascii="Times New Roman" w:hAnsi="Times New Roman" w:cs="Times New Roman"/>
          <w:i/>
          <w:color w:val="000000"/>
          <w:sz w:val="24"/>
          <w:szCs w:val="24"/>
        </w:rPr>
        <w:t>Caincare, Inc. v. Ellison</w:t>
      </w:r>
      <w:r w:rsidR="00822C97">
        <w:rPr>
          <w:rFonts w:ascii="Times New Roman" w:hAnsi="Times New Roman" w:cs="Times New Roman"/>
          <w:color w:val="000000"/>
          <w:sz w:val="24"/>
          <w:szCs w:val="24"/>
        </w:rPr>
        <w:t xml:space="preserve">, </w:t>
      </w:r>
      <w:r w:rsidR="0057280C">
        <w:rPr>
          <w:rFonts w:ascii="Times New Roman" w:hAnsi="Times New Roman" w:cs="Times New Roman"/>
          <w:color w:val="000000"/>
          <w:sz w:val="24"/>
          <w:szCs w:val="24"/>
        </w:rPr>
        <w:t>272 Ga. App. 190, 192 (2005)).</w:t>
      </w:r>
      <w:r w:rsidR="008114E8">
        <w:rPr>
          <w:rFonts w:ascii="Times New Roman" w:hAnsi="Times New Roman" w:cs="Times New Roman"/>
          <w:color w:val="000000"/>
          <w:sz w:val="24"/>
          <w:szCs w:val="24"/>
        </w:rPr>
        <w:t xml:space="preserve">  </w:t>
      </w:r>
      <w:r w:rsidR="008114E8">
        <w:rPr>
          <w:rFonts w:ascii="Times New Roman" w:hAnsi="Times New Roman" w:cs="Times New Roman"/>
          <w:i/>
          <w:color w:val="000000"/>
          <w:sz w:val="24"/>
          <w:szCs w:val="24"/>
        </w:rPr>
        <w:t>See also Sexton v. Sewell</w:t>
      </w:r>
      <w:r w:rsidR="008114E8">
        <w:rPr>
          <w:rFonts w:ascii="Times New Roman" w:hAnsi="Times New Roman" w:cs="Times New Roman"/>
          <w:color w:val="000000"/>
          <w:sz w:val="24"/>
          <w:szCs w:val="24"/>
        </w:rPr>
        <w:t>, 351 Ga. App. 273, 284 (2019).</w:t>
      </w:r>
    </w:p>
    <w:p w:rsidR="0057280C" w:rsidRDefault="0057280C" w:rsidP="0057280C">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000000"/>
          <w:sz w:val="24"/>
          <w:szCs w:val="24"/>
        </w:rPr>
        <w:t>“</w:t>
      </w:r>
      <w:r w:rsidR="00822C97">
        <w:rPr>
          <w:rFonts w:ascii="Times New Roman" w:hAnsi="Times New Roman" w:cs="Times New Roman"/>
          <w:color w:val="000000"/>
          <w:sz w:val="24"/>
          <w:szCs w:val="24"/>
        </w:rPr>
        <w:t xml:space="preserve">Determining whether such a clause constitutes an enforceable liquidated damages provision or an unenforceable penalty is a question of law for the court.”  </w:t>
      </w:r>
      <w:r w:rsidR="00822C97">
        <w:rPr>
          <w:rFonts w:ascii="Times New Roman" w:hAnsi="Times New Roman" w:cs="Times New Roman"/>
          <w:i/>
          <w:color w:val="000000"/>
          <w:sz w:val="24"/>
          <w:szCs w:val="24"/>
        </w:rPr>
        <w:t>Northside Bank v. Mountainbrook of Bartow County Homeowners Assoc., Inc.</w:t>
      </w:r>
      <w:r w:rsidR="00822C97">
        <w:rPr>
          <w:rFonts w:ascii="Times New Roman" w:hAnsi="Times New Roman" w:cs="Times New Roman"/>
          <w:color w:val="000000"/>
          <w:sz w:val="24"/>
          <w:szCs w:val="24"/>
        </w:rPr>
        <w:t xml:space="preserve">, 338 Ga. App. 126, 131 (2016) (quoting </w:t>
      </w:r>
      <w:r w:rsidR="00822C97">
        <w:rPr>
          <w:rFonts w:ascii="Times New Roman" w:hAnsi="Times New Roman" w:cs="Times New Roman"/>
          <w:i/>
          <w:color w:val="000000"/>
          <w:sz w:val="24"/>
          <w:szCs w:val="24"/>
        </w:rPr>
        <w:t>Jamsky v. HPSC, Inc.</w:t>
      </w:r>
      <w:r w:rsidR="00822C97">
        <w:rPr>
          <w:rFonts w:ascii="Times New Roman" w:hAnsi="Times New Roman" w:cs="Times New Roman"/>
          <w:color w:val="000000"/>
          <w:sz w:val="24"/>
          <w:szCs w:val="24"/>
        </w:rPr>
        <w:t>, 238 Ga. App. 447, 449 (1999)).</w:t>
      </w:r>
      <w:r w:rsidR="000864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trial, t</w:t>
      </w:r>
      <w:r w:rsidR="00086482">
        <w:rPr>
          <w:rFonts w:ascii="Times New Roman" w:hAnsi="Times New Roman" w:cs="Times New Roman"/>
          <w:color w:val="000000"/>
          <w:sz w:val="24"/>
          <w:szCs w:val="24"/>
        </w:rPr>
        <w:t xml:space="preserve">he burden is on the defaulting party to show that an alleged liquidated damages provision is actually an unenforceable penalty.  </w:t>
      </w:r>
      <w:r w:rsidR="00086482">
        <w:rPr>
          <w:rFonts w:ascii="Times New Roman" w:hAnsi="Times New Roman" w:cs="Times New Roman"/>
          <w:i/>
          <w:color w:val="000000"/>
          <w:sz w:val="24"/>
          <w:szCs w:val="24"/>
        </w:rPr>
        <w:t>West Asset Mgmt., Inc. v. NW Parkway, LLC</w:t>
      </w:r>
      <w:r w:rsidR="00086482">
        <w:rPr>
          <w:rFonts w:ascii="Times New Roman" w:hAnsi="Times New Roman" w:cs="Times New Roman"/>
          <w:color w:val="000000"/>
          <w:sz w:val="24"/>
          <w:szCs w:val="24"/>
        </w:rPr>
        <w:t>, 336 Ga. App. 775, 785 n.9 (2016).  However, in “</w:t>
      </w:r>
      <w:r w:rsidR="00086482" w:rsidRPr="00086482">
        <w:rPr>
          <w:rFonts w:ascii="Times New Roman" w:hAnsi="Times New Roman" w:cs="Times New Roman"/>
          <w:color w:val="212121"/>
          <w:sz w:val="24"/>
          <w:szCs w:val="24"/>
        </w:rPr>
        <w:t>cases of doubt, the courts favor the construction [of a contract] which holds the stipulated sum to be a penalty, and limits the recovery to the amount of damage[s] actually shown, rather than a liquidation of the damages.”</w:t>
      </w:r>
      <w:r w:rsidR="00086482">
        <w:rPr>
          <w:rFonts w:ascii="Times New Roman" w:hAnsi="Times New Roman" w:cs="Times New Roman"/>
          <w:color w:val="212121"/>
          <w:sz w:val="24"/>
          <w:szCs w:val="24"/>
        </w:rPr>
        <w:t xml:space="preserve">  </w:t>
      </w:r>
      <w:r w:rsidR="00086482">
        <w:rPr>
          <w:rFonts w:ascii="Times New Roman" w:hAnsi="Times New Roman" w:cs="Times New Roman"/>
          <w:i/>
          <w:color w:val="212121"/>
          <w:sz w:val="24"/>
          <w:szCs w:val="24"/>
        </w:rPr>
        <w:t>Id.</w:t>
      </w:r>
      <w:r w:rsidR="00086482">
        <w:rPr>
          <w:rFonts w:ascii="Times New Roman" w:hAnsi="Times New Roman" w:cs="Times New Roman"/>
          <w:color w:val="212121"/>
          <w:sz w:val="24"/>
          <w:szCs w:val="24"/>
        </w:rPr>
        <w:t xml:space="preserve"> at 785 (quoting </w:t>
      </w:r>
      <w:r w:rsidR="00086482">
        <w:rPr>
          <w:rFonts w:ascii="Times New Roman" w:hAnsi="Times New Roman" w:cs="Times New Roman"/>
          <w:i/>
          <w:color w:val="212121"/>
          <w:sz w:val="24"/>
          <w:szCs w:val="24"/>
        </w:rPr>
        <w:t>Fortune Bridge Co. v. Dep’t of Transp.</w:t>
      </w:r>
      <w:r w:rsidR="00086482">
        <w:rPr>
          <w:rFonts w:ascii="Times New Roman" w:hAnsi="Times New Roman" w:cs="Times New Roman"/>
          <w:color w:val="212121"/>
          <w:sz w:val="24"/>
          <w:szCs w:val="24"/>
        </w:rPr>
        <w:t>, 242 Ga. 531, 532 (1978)).</w:t>
      </w:r>
    </w:p>
    <w:p w:rsidR="00F1005A" w:rsidRDefault="0057280C" w:rsidP="0057280C">
      <w:pPr>
        <w:spacing w:line="360" w:lineRule="auto"/>
        <w:ind w:firstLine="720"/>
        <w:contextualSpacing/>
        <w:rPr>
          <w:rFonts w:ascii="Times New Roman" w:eastAsia="Times New Roman" w:hAnsi="Times New Roman" w:cs="Times New Roman"/>
          <w:color w:val="000000"/>
          <w:sz w:val="24"/>
          <w:szCs w:val="24"/>
        </w:rPr>
      </w:pPr>
      <w:r w:rsidRPr="0057280C">
        <w:rPr>
          <w:rFonts w:ascii="Times New Roman" w:eastAsia="Times New Roman" w:hAnsi="Times New Roman" w:cs="Times New Roman"/>
          <w:color w:val="000000"/>
          <w:sz w:val="24"/>
          <w:szCs w:val="24"/>
          <w:shd w:val="clear" w:color="auto" w:fill="FFFFFF"/>
        </w:rPr>
        <w:t>“Whether a provision represents liquidated damages or a penalty does not depend upon the label the parties place on the payment but rather depends on the effect it was intended to have and whether it was reasonable.”</w:t>
      </w:r>
      <w:r>
        <w:rPr>
          <w:rFonts w:ascii="Times New Roman" w:eastAsia="Times New Roman" w:hAnsi="Times New Roman" w:cs="Times New Roman"/>
          <w:color w:val="000000"/>
          <w:sz w:val="24"/>
          <w:szCs w:val="24"/>
          <w:shd w:val="clear" w:color="auto" w:fill="FFFFFF"/>
        </w:rPr>
        <w:t xml:space="preserve">  </w:t>
      </w:r>
      <w:r w:rsidRPr="0057280C">
        <w:rPr>
          <w:rFonts w:ascii="Times New Roman" w:eastAsia="Times New Roman" w:hAnsi="Times New Roman" w:cs="Times New Roman"/>
          <w:i/>
          <w:color w:val="000000"/>
          <w:sz w:val="24"/>
          <w:szCs w:val="24"/>
        </w:rPr>
        <w:t>Pierre v. St. Benedict's Episcopal Day Sch.</w:t>
      </w:r>
      <w:r w:rsidRPr="0057280C">
        <w:rPr>
          <w:rFonts w:ascii="Times New Roman" w:eastAsia="Times New Roman" w:hAnsi="Times New Roman" w:cs="Times New Roman"/>
          <w:color w:val="000000"/>
          <w:sz w:val="24"/>
          <w:szCs w:val="24"/>
        </w:rPr>
        <w:t>, 324 Ga. App. 283, 288 (2013)</w:t>
      </w:r>
      <w:r>
        <w:rPr>
          <w:rFonts w:ascii="Times New Roman" w:eastAsia="Times New Roman" w:hAnsi="Times New Roman" w:cs="Times New Roman"/>
          <w:color w:val="000000"/>
          <w:sz w:val="24"/>
          <w:szCs w:val="24"/>
        </w:rPr>
        <w:t xml:space="preserve">.  However, the court does ascertain the parties’ intent by first looking to the language of the contract, and although “the words used by the parties are not conclusive, they are a significant factor in determining the parties’ intent.”  </w:t>
      </w:r>
      <w:r>
        <w:rPr>
          <w:rFonts w:ascii="Times New Roman" w:eastAsia="Times New Roman" w:hAnsi="Times New Roman" w:cs="Times New Roman"/>
          <w:i/>
          <w:color w:val="000000"/>
          <w:sz w:val="24"/>
          <w:szCs w:val="24"/>
        </w:rPr>
        <w:t>Mariner</w:t>
      </w:r>
      <w:r>
        <w:rPr>
          <w:rFonts w:ascii="Times New Roman" w:eastAsia="Times New Roman" w:hAnsi="Times New Roman" w:cs="Times New Roman"/>
          <w:color w:val="000000"/>
          <w:sz w:val="24"/>
          <w:szCs w:val="24"/>
        </w:rPr>
        <w:t xml:space="preserve">, 306 Ga. App. at 876.  Thus, where the contract specifically referred to the payment of “liquidated damages” in the event of early termination, it supported the inference that the parties intended to provide for liquidated damages rather than a penalty.  </w:t>
      </w:r>
      <w:r>
        <w:rPr>
          <w:rFonts w:ascii="Times New Roman" w:eastAsia="Times New Roman" w:hAnsi="Times New Roman" w:cs="Times New Roman"/>
          <w:i/>
          <w:color w:val="000000"/>
          <w:sz w:val="24"/>
          <w:szCs w:val="24"/>
        </w:rPr>
        <w:t>Id.</w:t>
      </w:r>
      <w:r w:rsidR="0025508A">
        <w:rPr>
          <w:rFonts w:ascii="Times New Roman" w:eastAsia="Times New Roman" w:hAnsi="Times New Roman" w:cs="Times New Roman"/>
          <w:color w:val="000000"/>
          <w:sz w:val="24"/>
          <w:szCs w:val="24"/>
        </w:rPr>
        <w:t xml:space="preserve"> (citing </w:t>
      </w:r>
      <w:r w:rsidR="0025508A">
        <w:rPr>
          <w:rFonts w:ascii="Times New Roman" w:eastAsia="Times New Roman" w:hAnsi="Times New Roman" w:cs="Times New Roman"/>
          <w:i/>
          <w:color w:val="000000"/>
          <w:sz w:val="24"/>
          <w:szCs w:val="24"/>
        </w:rPr>
        <w:t>Liberty Life Ins. Co. v. Thomas B. Harley Constr. Co.</w:t>
      </w:r>
      <w:r w:rsidR="0025508A">
        <w:rPr>
          <w:rFonts w:ascii="Times New Roman" w:eastAsia="Times New Roman" w:hAnsi="Times New Roman" w:cs="Times New Roman"/>
          <w:color w:val="000000"/>
          <w:sz w:val="24"/>
          <w:szCs w:val="24"/>
        </w:rPr>
        <w:t>, 258 Ga. 808, 809 (1989)).</w:t>
      </w:r>
    </w:p>
    <w:p w:rsidR="0057280C" w:rsidRPr="00F1005A" w:rsidRDefault="00F1005A" w:rsidP="0057280C">
      <w:pPr>
        <w:spacing w:line="360" w:lineRule="auto"/>
        <w:ind w:firstLine="720"/>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However, where the proponent of the liquidated damages provision in the employment context could not explain how the parties calculated the specific amount of damages, the provision was held unenforceable.  </w:t>
      </w:r>
      <w:r>
        <w:rPr>
          <w:rFonts w:ascii="Times New Roman" w:eastAsia="Times New Roman" w:hAnsi="Times New Roman" w:cs="Times New Roman"/>
          <w:i/>
          <w:color w:val="000000"/>
          <w:sz w:val="24"/>
          <w:szCs w:val="24"/>
        </w:rPr>
        <w:t>Grayhawk Homes, Inc. v. Addison</w:t>
      </w:r>
      <w:r>
        <w:rPr>
          <w:rFonts w:ascii="Times New Roman" w:eastAsia="Times New Roman" w:hAnsi="Times New Roman" w:cs="Times New Roman"/>
          <w:color w:val="000000"/>
          <w:sz w:val="24"/>
          <w:szCs w:val="24"/>
        </w:rPr>
        <w:t>, No. A20A0769, 2020 WL 3286731, at *2 (</w:t>
      </w:r>
      <w:r w:rsidR="00CC19DB">
        <w:rPr>
          <w:rFonts w:ascii="Times New Roman" w:eastAsia="Times New Roman" w:hAnsi="Times New Roman" w:cs="Times New Roman"/>
          <w:color w:val="000000"/>
          <w:sz w:val="24"/>
          <w:szCs w:val="24"/>
        </w:rPr>
        <w:t xml:space="preserve">Ga. Ct. App. </w:t>
      </w:r>
      <w:r>
        <w:rPr>
          <w:rFonts w:ascii="Times New Roman" w:eastAsia="Times New Roman" w:hAnsi="Times New Roman" w:cs="Times New Roman"/>
          <w:color w:val="000000"/>
          <w:sz w:val="24"/>
          <w:szCs w:val="24"/>
        </w:rPr>
        <w:t xml:space="preserve">June 18, 2020) (citing </w:t>
      </w:r>
      <w:r>
        <w:rPr>
          <w:rFonts w:ascii="Times New Roman" w:eastAsia="Times New Roman" w:hAnsi="Times New Roman" w:cs="Times New Roman"/>
          <w:i/>
          <w:color w:val="000000"/>
          <w:sz w:val="24"/>
          <w:szCs w:val="24"/>
        </w:rPr>
        <w:t>Caincare, Inc. v. Ellison</w:t>
      </w:r>
      <w:r>
        <w:rPr>
          <w:rFonts w:ascii="Times New Roman" w:eastAsia="Times New Roman" w:hAnsi="Times New Roman" w:cs="Times New Roman"/>
          <w:color w:val="000000"/>
          <w:sz w:val="24"/>
          <w:szCs w:val="24"/>
        </w:rPr>
        <w:t xml:space="preserve">, 272 Ga. App. 190, 194 (2005)).  Where the same non-complete agreement with the same liquidated damages provision was applied to nearly every company employee even though the damages would not be the same for each employee, the court held the provision to be an unenforceable penalty.  </w:t>
      </w:r>
      <w:r>
        <w:rPr>
          <w:rFonts w:ascii="Times New Roman" w:eastAsia="Times New Roman" w:hAnsi="Times New Roman" w:cs="Times New Roman"/>
          <w:i/>
          <w:color w:val="000000"/>
          <w:sz w:val="24"/>
          <w:szCs w:val="24"/>
        </w:rPr>
        <w:t>See id.</w:t>
      </w:r>
      <w:r>
        <w:rPr>
          <w:rFonts w:ascii="Times New Roman" w:eastAsia="Times New Roman" w:hAnsi="Times New Roman" w:cs="Times New Roman"/>
          <w:color w:val="000000"/>
          <w:sz w:val="24"/>
          <w:szCs w:val="24"/>
        </w:rPr>
        <w:t xml:space="preserve"> (quoting </w:t>
      </w:r>
      <w:r>
        <w:rPr>
          <w:rFonts w:ascii="Times New Roman" w:eastAsia="Times New Roman" w:hAnsi="Times New Roman" w:cs="Times New Roman"/>
          <w:i/>
          <w:color w:val="000000"/>
          <w:sz w:val="24"/>
          <w:szCs w:val="24"/>
        </w:rPr>
        <w:t>Daniels v. Johnson</w:t>
      </w:r>
      <w:r>
        <w:rPr>
          <w:rFonts w:ascii="Times New Roman" w:eastAsia="Times New Roman" w:hAnsi="Times New Roman" w:cs="Times New Roman"/>
          <w:color w:val="000000"/>
          <w:sz w:val="24"/>
          <w:szCs w:val="24"/>
        </w:rPr>
        <w:t>, 191 Ga. App. 70, 72 (1989)) (</w:t>
      </w:r>
      <w:r w:rsidRPr="00F1005A">
        <w:rPr>
          <w:rFonts w:ascii="Times New Roman" w:hAnsi="Times New Roman" w:cs="Times New Roman"/>
          <w:color w:val="212121"/>
          <w:sz w:val="24"/>
          <w:szCs w:val="21"/>
        </w:rPr>
        <w:t>where designated amount of liquidated damages “would be in some instances too large and in others too small a compensation for the injury occasioned,” it “was not shown to have a reasonable pre-determined relation to the contractual damages the [non-breaching party] might suffer.”</w:t>
      </w:r>
    </w:p>
    <w:p w:rsidR="00417E01" w:rsidRDefault="00417E01"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Specific Performance</w:t>
      </w:r>
    </w:p>
    <w:p w:rsidR="00417E01" w:rsidRDefault="00417E01"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E316FA">
        <w:rPr>
          <w:rFonts w:ascii="Times New Roman" w:hAnsi="Times New Roman" w:cs="Times New Roman"/>
          <w:sz w:val="24"/>
          <w:szCs w:val="24"/>
        </w:rPr>
        <w:t xml:space="preserve">“Specific performance is not a form of damages.  To the contrary, specific performance is an equitable remedy that generally is appropriate </w:t>
      </w:r>
      <w:r w:rsidR="009F5F9D">
        <w:rPr>
          <w:rFonts w:ascii="Times New Roman" w:hAnsi="Times New Roman" w:cs="Times New Roman"/>
          <w:sz w:val="24"/>
          <w:szCs w:val="24"/>
        </w:rPr>
        <w:t xml:space="preserve">only where an award of damages would be insufficient to compensate the injured party for the other’s breach.”  </w:t>
      </w:r>
      <w:r w:rsidR="009F5F9D">
        <w:rPr>
          <w:rFonts w:ascii="Times New Roman" w:hAnsi="Times New Roman" w:cs="Times New Roman"/>
          <w:i/>
          <w:sz w:val="24"/>
          <w:szCs w:val="24"/>
        </w:rPr>
        <w:t>Estate of Callaway v. Garner</w:t>
      </w:r>
      <w:r w:rsidR="009F5F9D">
        <w:rPr>
          <w:rFonts w:ascii="Times New Roman" w:hAnsi="Times New Roman" w:cs="Times New Roman"/>
          <w:sz w:val="24"/>
          <w:szCs w:val="24"/>
        </w:rPr>
        <w:t xml:space="preserve">, 297 Ga. 52, 53 (2015) (citing O.C.G.A. § 23-2-130).  “One who is injured by another’s breach is in fact required to elect between these two distinct remedies.”  </w:t>
      </w:r>
      <w:r w:rsidR="009F5F9D">
        <w:rPr>
          <w:rFonts w:ascii="Times New Roman" w:hAnsi="Times New Roman" w:cs="Times New Roman"/>
          <w:i/>
          <w:sz w:val="24"/>
          <w:szCs w:val="24"/>
        </w:rPr>
        <w:t>Id.</w:t>
      </w:r>
      <w:r w:rsidR="009F5F9D">
        <w:rPr>
          <w:rFonts w:ascii="Times New Roman" w:hAnsi="Times New Roman" w:cs="Times New Roman"/>
          <w:sz w:val="24"/>
          <w:szCs w:val="24"/>
        </w:rPr>
        <w:t xml:space="preserve"> (citing </w:t>
      </w:r>
      <w:r w:rsidR="009F5F9D">
        <w:rPr>
          <w:rFonts w:ascii="Times New Roman" w:hAnsi="Times New Roman" w:cs="Times New Roman"/>
          <w:i/>
          <w:sz w:val="24"/>
          <w:szCs w:val="24"/>
        </w:rPr>
        <w:t>Clayton v. Deverell</w:t>
      </w:r>
      <w:r w:rsidR="009F5F9D">
        <w:rPr>
          <w:rFonts w:ascii="Times New Roman" w:hAnsi="Times New Roman" w:cs="Times New Roman"/>
          <w:sz w:val="24"/>
          <w:szCs w:val="24"/>
        </w:rPr>
        <w:t>, 257 Ga. 653 (1987)).</w:t>
      </w:r>
      <w:r w:rsidR="00825F2C">
        <w:rPr>
          <w:rFonts w:ascii="Times New Roman" w:hAnsi="Times New Roman" w:cs="Times New Roman"/>
          <w:sz w:val="24"/>
          <w:szCs w:val="24"/>
        </w:rPr>
        <w:t xml:space="preserve">  </w:t>
      </w:r>
      <w:r w:rsidR="00825F2C">
        <w:rPr>
          <w:rFonts w:ascii="Times New Roman" w:hAnsi="Times New Roman" w:cs="Times New Roman"/>
          <w:i/>
          <w:sz w:val="24"/>
          <w:szCs w:val="24"/>
        </w:rPr>
        <w:t>See also Hopkins v. PHH Mortgage Corp.</w:t>
      </w:r>
      <w:r w:rsidR="00825F2C">
        <w:rPr>
          <w:rFonts w:ascii="Times New Roman" w:hAnsi="Times New Roman" w:cs="Times New Roman"/>
          <w:sz w:val="24"/>
          <w:szCs w:val="24"/>
        </w:rPr>
        <w:t>, No. 2:18-CV-00042-RWS-JCF, 2019 WL 3526502, at *</w:t>
      </w:r>
      <w:r w:rsidR="00BE440C">
        <w:rPr>
          <w:rFonts w:ascii="Times New Roman" w:hAnsi="Times New Roman" w:cs="Times New Roman"/>
          <w:sz w:val="24"/>
          <w:szCs w:val="24"/>
        </w:rPr>
        <w:t>16</w:t>
      </w:r>
      <w:r w:rsidR="00825F2C">
        <w:rPr>
          <w:rFonts w:ascii="Times New Roman" w:hAnsi="Times New Roman" w:cs="Times New Roman"/>
          <w:sz w:val="24"/>
          <w:szCs w:val="24"/>
        </w:rPr>
        <w:t xml:space="preserve"> (N.D. Ga. May 30, 2019)</w:t>
      </w:r>
      <w:r w:rsidR="009F5F9D">
        <w:rPr>
          <w:rFonts w:ascii="Times New Roman" w:hAnsi="Times New Roman" w:cs="Times New Roman"/>
          <w:sz w:val="24"/>
          <w:szCs w:val="24"/>
        </w:rPr>
        <w:t xml:space="preserve"> </w:t>
      </w:r>
      <w:r w:rsidR="00BE440C" w:rsidRPr="00BE440C">
        <w:rPr>
          <w:rFonts w:ascii="Times New Roman" w:hAnsi="Times New Roman" w:cs="Times New Roman"/>
          <w:sz w:val="24"/>
          <w:szCs w:val="24"/>
        </w:rPr>
        <w:t>(</w:t>
      </w:r>
      <w:r w:rsidR="00BE440C" w:rsidRPr="00BE440C">
        <w:rPr>
          <w:rFonts w:ascii="Times New Roman" w:hAnsi="Times New Roman" w:cs="Times New Roman"/>
          <w:color w:val="212121"/>
          <w:sz w:val="24"/>
          <w:szCs w:val="24"/>
        </w:rPr>
        <w:t>“Specific performance is not a claim, but an equitable remedy for a breach of contract where damages would not provide adequate compensation.”</w:t>
      </w:r>
      <w:r w:rsidR="00BE440C">
        <w:rPr>
          <w:rFonts w:ascii="Times New Roman" w:hAnsi="Times New Roman" w:cs="Times New Roman"/>
          <w:color w:val="212121"/>
          <w:sz w:val="24"/>
          <w:szCs w:val="24"/>
        </w:rPr>
        <w:t>).</w:t>
      </w:r>
      <w:r w:rsidR="009F5F9D">
        <w:rPr>
          <w:rFonts w:ascii="Times New Roman" w:hAnsi="Times New Roman" w:cs="Times New Roman"/>
          <w:sz w:val="24"/>
          <w:szCs w:val="24"/>
        </w:rPr>
        <w:t xml:space="preserve"> </w:t>
      </w:r>
      <w:r w:rsidR="00BE440C">
        <w:rPr>
          <w:rFonts w:ascii="Times New Roman" w:hAnsi="Times New Roman" w:cs="Times New Roman"/>
          <w:sz w:val="24"/>
          <w:szCs w:val="24"/>
        </w:rPr>
        <w:t xml:space="preserve"> </w:t>
      </w:r>
      <w:r w:rsidR="009F5F9D">
        <w:rPr>
          <w:rFonts w:ascii="Times New Roman" w:hAnsi="Times New Roman" w:cs="Times New Roman"/>
          <w:sz w:val="24"/>
          <w:szCs w:val="24"/>
        </w:rPr>
        <w:t xml:space="preserve">But, even if a plaintiff elects specific performance as his remedy instead of contract damages, he may still be able to recover </w:t>
      </w:r>
      <w:r w:rsidR="00BE440C">
        <w:rPr>
          <w:rFonts w:ascii="Times New Roman" w:hAnsi="Times New Roman" w:cs="Times New Roman"/>
          <w:sz w:val="24"/>
          <w:szCs w:val="24"/>
        </w:rPr>
        <w:t>other relief</w:t>
      </w:r>
      <w:r w:rsidR="009F5F9D">
        <w:rPr>
          <w:rFonts w:ascii="Times New Roman" w:hAnsi="Times New Roman" w:cs="Times New Roman"/>
          <w:sz w:val="24"/>
          <w:szCs w:val="24"/>
        </w:rPr>
        <w:t xml:space="preserve">, such as attorney’ fees, consequential damages, and punitive damages.  </w:t>
      </w:r>
      <w:r w:rsidR="00BE440C">
        <w:rPr>
          <w:rFonts w:ascii="Times New Roman" w:hAnsi="Times New Roman" w:cs="Times New Roman"/>
          <w:i/>
          <w:sz w:val="24"/>
          <w:szCs w:val="24"/>
        </w:rPr>
        <w:t>Estate of Callaway</w:t>
      </w:r>
      <w:r w:rsidR="00BE440C">
        <w:rPr>
          <w:rFonts w:ascii="Times New Roman" w:hAnsi="Times New Roman" w:cs="Times New Roman"/>
          <w:sz w:val="24"/>
          <w:szCs w:val="24"/>
        </w:rPr>
        <w:t>, 297 Ga.</w:t>
      </w:r>
      <w:r w:rsidR="009F5F9D">
        <w:rPr>
          <w:rFonts w:ascii="Times New Roman" w:hAnsi="Times New Roman" w:cs="Times New Roman"/>
          <w:sz w:val="24"/>
          <w:szCs w:val="24"/>
        </w:rPr>
        <w:t xml:space="preserve"> at 53 n.2.</w:t>
      </w:r>
    </w:p>
    <w:p w:rsidR="00926168" w:rsidRDefault="0092616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Pr="00157E6F">
        <w:rPr>
          <w:rFonts w:ascii="Times New Roman" w:hAnsi="Times New Roman" w:cs="Times New Roman"/>
          <w:color w:val="000000"/>
          <w:sz w:val="24"/>
          <w:szCs w:val="24"/>
        </w:rPr>
        <w:t xml:space="preserve">To succeed on a claim for specific performance regarding a real estate purchase contract, a plaintiff must show that the contract is “certain, definite, and specific as to all essential elements: (1) subject matter; (2) purpose; (3) parties; (4) consideration; and (5) time and place of performance.”  </w:t>
      </w:r>
      <w:r w:rsidRPr="00157E6F">
        <w:rPr>
          <w:rFonts w:ascii="Times New Roman" w:hAnsi="Times New Roman" w:cs="Times New Roman"/>
          <w:i/>
          <w:color w:val="000000"/>
          <w:sz w:val="24"/>
          <w:szCs w:val="24"/>
        </w:rPr>
        <w:t>Hutson v. Young</w:t>
      </w:r>
      <w:r w:rsidRPr="00157E6F">
        <w:rPr>
          <w:rFonts w:ascii="Times New Roman" w:hAnsi="Times New Roman" w:cs="Times New Roman"/>
          <w:color w:val="000000"/>
          <w:sz w:val="24"/>
          <w:szCs w:val="24"/>
        </w:rPr>
        <w:t xml:space="preserve">, 255 Ga. App. 169, 171 (2002).  </w:t>
      </w:r>
      <w:r w:rsidRPr="00157E6F">
        <w:rPr>
          <w:rFonts w:ascii="Times New Roman" w:hAnsi="Times New Roman" w:cs="Times New Roman"/>
          <w:color w:val="000000"/>
          <w:sz w:val="24"/>
          <w:szCs w:val="24"/>
        </w:rPr>
        <w:lastRenderedPageBreak/>
        <w:t xml:space="preserve">“Further, the contract must be fair in all parts; based upon an adequate consideration; and capable of being performed.”  </w:t>
      </w:r>
      <w:r w:rsidRPr="00157E6F">
        <w:rPr>
          <w:rFonts w:ascii="Times New Roman" w:hAnsi="Times New Roman" w:cs="Times New Roman"/>
          <w:i/>
          <w:color w:val="000000"/>
          <w:sz w:val="24"/>
          <w:szCs w:val="24"/>
        </w:rPr>
        <w:t>Id.</w:t>
      </w:r>
      <w:r w:rsidRPr="00157E6F">
        <w:rPr>
          <w:rFonts w:ascii="Times New Roman" w:hAnsi="Times New Roman" w:cs="Times New Roman"/>
          <w:color w:val="000000"/>
          <w:sz w:val="24"/>
          <w:szCs w:val="24"/>
        </w:rPr>
        <w:t xml:space="preserve"> (citing </w:t>
      </w:r>
      <w:r w:rsidRPr="00157E6F">
        <w:rPr>
          <w:rFonts w:ascii="Times New Roman" w:hAnsi="Times New Roman" w:cs="Times New Roman"/>
          <w:i/>
          <w:color w:val="000000"/>
          <w:sz w:val="24"/>
          <w:szCs w:val="24"/>
        </w:rPr>
        <w:t>Williams v. Manchester Bldg. Supply Co.</w:t>
      </w:r>
      <w:r w:rsidRPr="00157E6F">
        <w:rPr>
          <w:rFonts w:ascii="Times New Roman" w:hAnsi="Times New Roman" w:cs="Times New Roman"/>
          <w:color w:val="000000"/>
          <w:sz w:val="24"/>
          <w:szCs w:val="24"/>
        </w:rPr>
        <w:t>, 213 Ga. 99, 101 (1957)) (additional citations omitted).</w:t>
      </w:r>
    </w:p>
    <w:p w:rsidR="00926168" w:rsidRDefault="0092616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157E6F">
        <w:rPr>
          <w:rFonts w:ascii="Times New Roman" w:hAnsi="Times New Roman" w:cs="Times New Roman"/>
          <w:color w:val="000000"/>
          <w:sz w:val="24"/>
          <w:szCs w:val="24"/>
        </w:rPr>
        <w:t xml:space="preserve">The purchaser “must prove the value of the property so far as to enable the court to determine that the contract was fair, just and not against good conscience.”  </w:t>
      </w:r>
      <w:r w:rsidRPr="00157E6F">
        <w:rPr>
          <w:rFonts w:ascii="Times New Roman" w:hAnsi="Times New Roman" w:cs="Times New Roman"/>
          <w:i/>
          <w:color w:val="000000"/>
          <w:sz w:val="24"/>
          <w:szCs w:val="24"/>
        </w:rPr>
        <w:t>Id.</w:t>
      </w:r>
      <w:r w:rsidRPr="00157E6F">
        <w:rPr>
          <w:rFonts w:ascii="Times New Roman" w:hAnsi="Times New Roman" w:cs="Times New Roman"/>
          <w:color w:val="000000"/>
          <w:sz w:val="24"/>
          <w:szCs w:val="24"/>
        </w:rPr>
        <w:t xml:space="preserve"> at 172 (quoting </w:t>
      </w:r>
      <w:r w:rsidRPr="00157E6F">
        <w:rPr>
          <w:rFonts w:ascii="Times New Roman" w:hAnsi="Times New Roman" w:cs="Times New Roman"/>
          <w:i/>
          <w:color w:val="000000"/>
          <w:sz w:val="24"/>
          <w:szCs w:val="24"/>
        </w:rPr>
        <w:t>Moody v. Mendenhall</w:t>
      </w:r>
      <w:r w:rsidRPr="00157E6F">
        <w:rPr>
          <w:rFonts w:ascii="Times New Roman" w:hAnsi="Times New Roman" w:cs="Times New Roman"/>
          <w:color w:val="000000"/>
          <w:sz w:val="24"/>
          <w:szCs w:val="24"/>
        </w:rPr>
        <w:t xml:space="preserve">, 238 Ga. 689, 693 (1977)).  “Whether the price was adequate and whether enforcement of the contract was equitable [are] for the trial court to determine as a matter of equity.”  </w:t>
      </w:r>
      <w:r w:rsidRPr="00157E6F">
        <w:rPr>
          <w:rFonts w:ascii="Times New Roman" w:hAnsi="Times New Roman" w:cs="Times New Roman"/>
          <w:i/>
          <w:color w:val="000000"/>
          <w:sz w:val="24"/>
          <w:szCs w:val="24"/>
        </w:rPr>
        <w:t>Id.</w:t>
      </w:r>
      <w:r w:rsidRPr="00157E6F">
        <w:rPr>
          <w:rFonts w:ascii="Times New Roman" w:hAnsi="Times New Roman" w:cs="Times New Roman"/>
          <w:color w:val="000000"/>
          <w:sz w:val="24"/>
          <w:szCs w:val="24"/>
        </w:rPr>
        <w:t xml:space="preserve"> (citing </w:t>
      </w:r>
      <w:r w:rsidRPr="00157E6F">
        <w:rPr>
          <w:rFonts w:ascii="Times New Roman" w:hAnsi="Times New Roman" w:cs="Times New Roman"/>
          <w:i/>
          <w:color w:val="000000"/>
          <w:sz w:val="24"/>
          <w:szCs w:val="24"/>
        </w:rPr>
        <w:t>English v. Muller</w:t>
      </w:r>
      <w:r w:rsidRPr="00157E6F">
        <w:rPr>
          <w:rFonts w:ascii="Times New Roman" w:hAnsi="Times New Roman" w:cs="Times New Roman"/>
          <w:color w:val="000000"/>
          <w:sz w:val="24"/>
          <w:szCs w:val="24"/>
        </w:rPr>
        <w:t>, 270 Ga. 876, 877 (1999))</w:t>
      </w:r>
      <w:r>
        <w:rPr>
          <w:rFonts w:ascii="Times New Roman" w:hAnsi="Times New Roman" w:cs="Times New Roman"/>
          <w:color w:val="000000"/>
          <w:sz w:val="24"/>
          <w:szCs w:val="24"/>
        </w:rPr>
        <w:t>.</w:t>
      </w:r>
    </w:p>
    <w:p w:rsidR="00926168" w:rsidRDefault="0092616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157E6F">
        <w:rPr>
          <w:rFonts w:ascii="Times New Roman" w:hAnsi="Times New Roman" w:cs="Times New Roman"/>
          <w:color w:val="000000"/>
          <w:sz w:val="24"/>
          <w:szCs w:val="24"/>
        </w:rPr>
        <w:t xml:space="preserve">“Further, although all of the essential elements for specific performance for the sale of realty may exist, a party is not entitled to such remedy as a matter of right, because whether or not specific performance is appropriate in a specific case is a matter in the sound discretion of the superior court judge as equitable and just.”  </w:t>
      </w:r>
      <w:r w:rsidRPr="00157E6F">
        <w:rPr>
          <w:rFonts w:ascii="Times New Roman" w:hAnsi="Times New Roman" w:cs="Times New Roman"/>
          <w:i/>
          <w:color w:val="000000"/>
          <w:sz w:val="24"/>
          <w:szCs w:val="24"/>
        </w:rPr>
        <w:t>Id.</w:t>
      </w:r>
      <w:r w:rsidRPr="00157E6F">
        <w:rPr>
          <w:rFonts w:ascii="Times New Roman" w:hAnsi="Times New Roman" w:cs="Times New Roman"/>
          <w:color w:val="000000"/>
          <w:sz w:val="24"/>
          <w:szCs w:val="24"/>
        </w:rPr>
        <w:t xml:space="preserve"> (citing </w:t>
      </w:r>
      <w:r w:rsidRPr="00157E6F">
        <w:rPr>
          <w:rFonts w:ascii="Times New Roman" w:hAnsi="Times New Roman" w:cs="Times New Roman"/>
          <w:i/>
          <w:color w:val="000000"/>
          <w:sz w:val="24"/>
          <w:szCs w:val="24"/>
        </w:rPr>
        <w:t>Kelly v. Vargo</w:t>
      </w:r>
      <w:r w:rsidRPr="00157E6F">
        <w:rPr>
          <w:rFonts w:ascii="Times New Roman" w:hAnsi="Times New Roman" w:cs="Times New Roman"/>
          <w:color w:val="000000"/>
          <w:sz w:val="24"/>
          <w:szCs w:val="24"/>
        </w:rPr>
        <w:t xml:space="preserve">, 261 Ga. 422, 423 (1991)) (additional citations omitted).  </w:t>
      </w:r>
      <w:r w:rsidRPr="00157E6F">
        <w:rPr>
          <w:rFonts w:ascii="Times New Roman" w:hAnsi="Times New Roman" w:cs="Times New Roman"/>
          <w:i/>
          <w:color w:val="000000"/>
          <w:sz w:val="24"/>
          <w:szCs w:val="24"/>
        </w:rPr>
        <w:t>See also Surman v. Blansett</w:t>
      </w:r>
      <w:r w:rsidRPr="00157E6F">
        <w:rPr>
          <w:rFonts w:ascii="Times New Roman" w:hAnsi="Times New Roman" w:cs="Times New Roman"/>
          <w:color w:val="000000"/>
          <w:sz w:val="24"/>
          <w:szCs w:val="24"/>
        </w:rPr>
        <w:t>, 246 Ga. App. 183, 186 (2000) (“[S]pecific performance is not a matter of absolute right.”).</w:t>
      </w:r>
    </w:p>
    <w:p w:rsidR="00926168" w:rsidRDefault="0092616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157E6F">
        <w:rPr>
          <w:rFonts w:ascii="Times New Roman" w:hAnsi="Times New Roman" w:cs="Times New Roman"/>
          <w:color w:val="000000"/>
          <w:sz w:val="24"/>
          <w:szCs w:val="24"/>
        </w:rPr>
        <w:t xml:space="preserve">A “court of equity can not decree the specific performance of a contract wherein the purported vendor agrees to sell land which belongs to another.”  </w:t>
      </w:r>
      <w:r w:rsidRPr="00157E6F">
        <w:rPr>
          <w:rFonts w:ascii="Times New Roman" w:hAnsi="Times New Roman" w:cs="Times New Roman"/>
          <w:i/>
          <w:color w:val="000000"/>
          <w:sz w:val="24"/>
          <w:szCs w:val="24"/>
        </w:rPr>
        <w:t>Viola E. Buford Family Ltd. P’ship v. Britt</w:t>
      </w:r>
      <w:r w:rsidRPr="00157E6F">
        <w:rPr>
          <w:rFonts w:ascii="Times New Roman" w:hAnsi="Times New Roman" w:cs="Times New Roman"/>
          <w:color w:val="000000"/>
          <w:sz w:val="24"/>
          <w:szCs w:val="24"/>
        </w:rPr>
        <w:t xml:space="preserve">, 283 Ga. App. 676, 677 (2007) (quoting </w:t>
      </w:r>
      <w:r w:rsidRPr="00157E6F">
        <w:rPr>
          <w:rFonts w:ascii="Times New Roman" w:hAnsi="Times New Roman" w:cs="Times New Roman"/>
          <w:i/>
          <w:color w:val="000000"/>
          <w:sz w:val="24"/>
          <w:szCs w:val="24"/>
        </w:rPr>
        <w:t>Chastain v. Schomburg</w:t>
      </w:r>
      <w:r w:rsidRPr="00157E6F">
        <w:rPr>
          <w:rFonts w:ascii="Times New Roman" w:hAnsi="Times New Roman" w:cs="Times New Roman"/>
          <w:color w:val="000000"/>
          <w:sz w:val="24"/>
          <w:szCs w:val="24"/>
        </w:rPr>
        <w:t xml:space="preserve">, 258 Ga. 218 (1988)).  </w:t>
      </w:r>
      <w:r w:rsidRPr="00157E6F">
        <w:rPr>
          <w:rFonts w:ascii="Times New Roman" w:hAnsi="Times New Roman" w:cs="Times New Roman"/>
          <w:i/>
          <w:color w:val="000000"/>
          <w:sz w:val="24"/>
          <w:szCs w:val="24"/>
        </w:rPr>
        <w:t>See also Jolles v. Holiday Builders, Inc.</w:t>
      </w:r>
      <w:r w:rsidRPr="00157E6F">
        <w:rPr>
          <w:rFonts w:ascii="Times New Roman" w:hAnsi="Times New Roman" w:cs="Times New Roman"/>
          <w:color w:val="000000"/>
          <w:sz w:val="24"/>
          <w:szCs w:val="24"/>
        </w:rPr>
        <w:t xml:space="preserve">, 222 Ga. 358, 360 (1966) (“Holiday Builders, Inc. could not be required to specifically perform the contract, because, under the allegations of the petition, this corporation does not hold title to the land described in the contract.”); </w:t>
      </w:r>
      <w:r w:rsidRPr="00157E6F">
        <w:rPr>
          <w:rFonts w:ascii="Times New Roman" w:hAnsi="Times New Roman" w:cs="Times New Roman"/>
          <w:i/>
          <w:color w:val="000000"/>
          <w:sz w:val="24"/>
          <w:szCs w:val="24"/>
        </w:rPr>
        <w:t>Brega v CSRA Realty Co.</w:t>
      </w:r>
      <w:r w:rsidRPr="00157E6F">
        <w:rPr>
          <w:rFonts w:ascii="Times New Roman" w:hAnsi="Times New Roman" w:cs="Times New Roman"/>
          <w:color w:val="000000"/>
          <w:sz w:val="24"/>
          <w:szCs w:val="24"/>
        </w:rPr>
        <w:t xml:space="preserve">, 223 Ga. 724, 726 (1967).  “One cannot make good title to that which he does not own.”  </w:t>
      </w:r>
      <w:r w:rsidRPr="00157E6F">
        <w:rPr>
          <w:rFonts w:ascii="Times New Roman" w:hAnsi="Times New Roman" w:cs="Times New Roman"/>
          <w:i/>
          <w:color w:val="000000"/>
          <w:sz w:val="24"/>
          <w:szCs w:val="24"/>
        </w:rPr>
        <w:t>Smith v. Hooker/Barnes, Inc.</w:t>
      </w:r>
      <w:r w:rsidRPr="00157E6F">
        <w:rPr>
          <w:rFonts w:ascii="Times New Roman" w:hAnsi="Times New Roman" w:cs="Times New Roman"/>
          <w:color w:val="000000"/>
          <w:sz w:val="24"/>
          <w:szCs w:val="24"/>
        </w:rPr>
        <w:t xml:space="preserve">, 253 Ga. 514 (1984) (citing </w:t>
      </w:r>
      <w:r w:rsidRPr="00157E6F">
        <w:rPr>
          <w:rFonts w:ascii="Times New Roman" w:hAnsi="Times New Roman" w:cs="Times New Roman"/>
          <w:i/>
          <w:color w:val="000000"/>
          <w:sz w:val="24"/>
          <w:szCs w:val="24"/>
        </w:rPr>
        <w:t>Northington-Munger-Pratt Co. v. Farmers’ Gin and Warehouse Co.</w:t>
      </w:r>
      <w:r w:rsidRPr="00157E6F">
        <w:rPr>
          <w:rFonts w:ascii="Times New Roman" w:hAnsi="Times New Roman" w:cs="Times New Roman"/>
          <w:color w:val="000000"/>
          <w:sz w:val="24"/>
          <w:szCs w:val="24"/>
        </w:rPr>
        <w:t xml:space="preserve">, 119 Ga. 851, 853 (1904)).  However, “specific performance is available to the extent of the purported vendor’s own interest in the property where he has contracted in his own name.”  </w:t>
      </w:r>
      <w:r w:rsidRPr="00157E6F">
        <w:rPr>
          <w:rFonts w:ascii="Times New Roman" w:hAnsi="Times New Roman" w:cs="Times New Roman"/>
          <w:i/>
          <w:color w:val="000000"/>
          <w:sz w:val="24"/>
          <w:szCs w:val="24"/>
        </w:rPr>
        <w:t>Viola E. Buford Family Ltd. P’ship</w:t>
      </w:r>
      <w:r w:rsidRPr="00157E6F">
        <w:rPr>
          <w:rFonts w:ascii="Times New Roman" w:hAnsi="Times New Roman" w:cs="Times New Roman"/>
          <w:color w:val="000000"/>
          <w:sz w:val="24"/>
          <w:szCs w:val="24"/>
        </w:rPr>
        <w:t>, 283 Ga. App. at 677 (citation omitted).</w:t>
      </w:r>
    </w:p>
    <w:p w:rsidR="0011171A" w:rsidRDefault="0011171A" w:rsidP="00A27D49">
      <w:pPr>
        <w:spacing w:line="360" w:lineRule="auto"/>
        <w:contextualSpacing/>
        <w:rPr>
          <w:rFonts w:ascii="Times New Roman" w:hAnsi="Times New Roman" w:cs="Times New Roman"/>
          <w:color w:val="000000"/>
          <w:sz w:val="24"/>
          <w:szCs w:val="24"/>
        </w:rPr>
      </w:pPr>
    </w:p>
    <w:p w:rsidR="000405E8" w:rsidRDefault="000405E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b/>
          <w:color w:val="000000"/>
          <w:sz w:val="24"/>
          <w:szCs w:val="24"/>
        </w:rPr>
        <w:t>C.</w:t>
      </w:r>
      <w:r>
        <w:rPr>
          <w:rFonts w:ascii="Times New Roman" w:hAnsi="Times New Roman" w:cs="Times New Roman"/>
          <w:b/>
          <w:color w:val="000000"/>
          <w:sz w:val="24"/>
          <w:szCs w:val="24"/>
        </w:rPr>
        <w:tab/>
        <w:t>Rescission of the contract</w:t>
      </w:r>
    </w:p>
    <w:p w:rsidR="000405E8" w:rsidRDefault="000405E8"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7754A2">
        <w:rPr>
          <w:rFonts w:ascii="Times New Roman" w:hAnsi="Times New Roman" w:cs="Times New Roman"/>
          <w:color w:val="000000"/>
          <w:sz w:val="24"/>
          <w:szCs w:val="24"/>
        </w:rPr>
        <w:t xml:space="preserve">A party may not recover on both claims for breach of contract and for rescission of the contract.  </w:t>
      </w:r>
      <w:r w:rsidR="007754A2">
        <w:rPr>
          <w:rFonts w:ascii="Times New Roman" w:hAnsi="Times New Roman" w:cs="Times New Roman"/>
          <w:i/>
          <w:color w:val="000000"/>
          <w:sz w:val="24"/>
          <w:szCs w:val="24"/>
        </w:rPr>
        <w:t>Champion Windows of Chattanooga, LLC v. Edwards</w:t>
      </w:r>
      <w:r w:rsidR="007754A2">
        <w:rPr>
          <w:rFonts w:ascii="Times New Roman" w:hAnsi="Times New Roman" w:cs="Times New Roman"/>
          <w:color w:val="000000"/>
          <w:sz w:val="24"/>
          <w:szCs w:val="24"/>
        </w:rPr>
        <w:t xml:space="preserve">, 326 Ga. App. 232, 239 (2014).  This is because rescission represents “a remedy in which neither party is held liable in damages for breach of the contract, because the contract is considered void.”  </w:t>
      </w:r>
      <w:r w:rsidR="007754A2">
        <w:rPr>
          <w:rFonts w:ascii="Times New Roman" w:hAnsi="Times New Roman" w:cs="Times New Roman"/>
          <w:i/>
          <w:color w:val="000000"/>
          <w:sz w:val="24"/>
          <w:szCs w:val="24"/>
        </w:rPr>
        <w:t>Id.</w:t>
      </w:r>
      <w:r w:rsidR="007754A2">
        <w:rPr>
          <w:rFonts w:ascii="Times New Roman" w:hAnsi="Times New Roman" w:cs="Times New Roman"/>
          <w:color w:val="000000"/>
          <w:sz w:val="24"/>
          <w:szCs w:val="24"/>
        </w:rPr>
        <w:t xml:space="preserve"> at 239-40 (quoting </w:t>
      </w:r>
      <w:r w:rsidR="007754A2">
        <w:rPr>
          <w:rFonts w:ascii="Times New Roman" w:hAnsi="Times New Roman" w:cs="Times New Roman"/>
          <w:i/>
          <w:color w:val="000000"/>
          <w:sz w:val="24"/>
          <w:szCs w:val="24"/>
        </w:rPr>
        <w:t>Martin v. Rollins, Inc.</w:t>
      </w:r>
      <w:r w:rsidR="007754A2">
        <w:rPr>
          <w:rFonts w:ascii="Times New Roman" w:hAnsi="Times New Roman" w:cs="Times New Roman"/>
          <w:color w:val="000000"/>
          <w:sz w:val="24"/>
          <w:szCs w:val="24"/>
        </w:rPr>
        <w:t>, 238 Ga. 119, 120 (1977)).</w:t>
      </w:r>
    </w:p>
    <w:p w:rsidR="00340ECA" w:rsidRPr="00DB43C9" w:rsidRDefault="00340ECA"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“To justify rescission of a contract for fraud in the inducement, the party seeking rescission must prove that the party with whom it contracted made a knowingly false representation; that it did so with the intent of inducing the first party to act in reliance on the deliberate misrepresentation; and that the first party justifiably relied on the misrepresentation, to that party’s detriment.”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236 (citing </w:t>
      </w:r>
      <w:r>
        <w:rPr>
          <w:rFonts w:ascii="Times New Roman" w:hAnsi="Times New Roman" w:cs="Times New Roman"/>
          <w:i/>
          <w:color w:val="000000"/>
          <w:sz w:val="24"/>
          <w:szCs w:val="24"/>
        </w:rPr>
        <w:t xml:space="preserve">Turner Outdoor Adver. </w:t>
      </w:r>
      <w:r w:rsidR="00A54660">
        <w:rPr>
          <w:rFonts w:ascii="Times New Roman" w:hAnsi="Times New Roman" w:cs="Times New Roman"/>
          <w:i/>
          <w:color w:val="000000"/>
          <w:sz w:val="24"/>
          <w:szCs w:val="24"/>
        </w:rPr>
        <w:t>v</w:t>
      </w:r>
      <w:r>
        <w:rPr>
          <w:rFonts w:ascii="Times New Roman" w:hAnsi="Times New Roman" w:cs="Times New Roman"/>
          <w:i/>
          <w:color w:val="000000"/>
          <w:sz w:val="24"/>
          <w:szCs w:val="24"/>
        </w:rPr>
        <w:t>. Fidelity Eastern Fin.</w:t>
      </w:r>
      <w:r>
        <w:rPr>
          <w:rFonts w:ascii="Times New Roman" w:hAnsi="Times New Roman" w:cs="Times New Roman"/>
          <w:color w:val="000000"/>
          <w:sz w:val="24"/>
          <w:szCs w:val="24"/>
        </w:rPr>
        <w:t xml:space="preserve">, 185 Ga. App. 815, 816 (1988)).  “When evidence as to any one of these elements is lacking, then the rescission claim must fail.”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237 (quoting </w:t>
      </w:r>
      <w:r>
        <w:rPr>
          <w:rFonts w:ascii="Times New Roman" w:hAnsi="Times New Roman" w:cs="Times New Roman"/>
          <w:i/>
          <w:color w:val="000000"/>
          <w:sz w:val="24"/>
          <w:szCs w:val="24"/>
        </w:rPr>
        <w:t>Young v. Oak Leaf Builders</w:t>
      </w:r>
      <w:r>
        <w:rPr>
          <w:rFonts w:ascii="Times New Roman" w:hAnsi="Times New Roman" w:cs="Times New Roman"/>
          <w:color w:val="000000"/>
          <w:sz w:val="24"/>
          <w:szCs w:val="24"/>
        </w:rPr>
        <w:t>, 277 Ga. App. 274, 278 (2006)).</w:t>
      </w:r>
      <w:r w:rsidR="00DB43C9">
        <w:rPr>
          <w:rFonts w:ascii="Times New Roman" w:hAnsi="Times New Roman" w:cs="Times New Roman"/>
          <w:color w:val="000000"/>
          <w:sz w:val="24"/>
          <w:szCs w:val="24"/>
        </w:rPr>
        <w:t xml:space="preserve">  </w:t>
      </w:r>
      <w:r w:rsidR="00DB43C9">
        <w:rPr>
          <w:rFonts w:ascii="Times New Roman" w:hAnsi="Times New Roman" w:cs="Times New Roman"/>
          <w:i/>
          <w:color w:val="000000"/>
          <w:sz w:val="24"/>
          <w:szCs w:val="24"/>
        </w:rPr>
        <w:t>See also James v. Terex USA, LLC</w:t>
      </w:r>
      <w:r w:rsidR="00DB43C9">
        <w:rPr>
          <w:rFonts w:ascii="Times New Roman" w:hAnsi="Times New Roman" w:cs="Times New Roman"/>
          <w:color w:val="000000"/>
          <w:sz w:val="24"/>
          <w:szCs w:val="24"/>
        </w:rPr>
        <w:t>, No. 5:16-CV-60, 2018 WL 6028705, at *4 (S.D. Ga. Nov. 16, 2018) (“</w:t>
      </w:r>
      <w:r w:rsidR="00DB43C9" w:rsidRPr="00DB43C9">
        <w:rPr>
          <w:rFonts w:ascii="Times New Roman" w:hAnsi="Times New Roman" w:cs="Times New Roman"/>
          <w:color w:val="212121"/>
          <w:sz w:val="24"/>
          <w:szCs w:val="21"/>
        </w:rPr>
        <w:t>Where a plaintiff is unable to put forth evidence f</w:t>
      </w:r>
      <w:r w:rsidR="00DB43C9">
        <w:rPr>
          <w:rFonts w:ascii="Times New Roman" w:hAnsi="Times New Roman" w:cs="Times New Roman"/>
          <w:color w:val="212121"/>
          <w:sz w:val="24"/>
          <w:szCs w:val="21"/>
        </w:rPr>
        <w:t xml:space="preserve">or every element of fraud, any </w:t>
      </w:r>
      <w:r w:rsidR="00DB43C9" w:rsidRPr="00DB43C9">
        <w:rPr>
          <w:rFonts w:ascii="Times New Roman" w:hAnsi="Times New Roman" w:cs="Times New Roman"/>
          <w:color w:val="212121"/>
          <w:sz w:val="24"/>
          <w:szCs w:val="21"/>
        </w:rPr>
        <w:t>rescission claim must fail.”</w:t>
      </w:r>
      <w:r w:rsidR="00DB43C9">
        <w:rPr>
          <w:rFonts w:ascii="Times New Roman" w:hAnsi="Times New Roman" w:cs="Times New Roman"/>
          <w:color w:val="212121"/>
          <w:sz w:val="24"/>
          <w:szCs w:val="21"/>
        </w:rPr>
        <w:t>).</w:t>
      </w:r>
    </w:p>
    <w:p w:rsidR="00340ECA" w:rsidRDefault="00340ECA"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Further, </w:t>
      </w:r>
      <w:r w:rsidR="00A54660">
        <w:rPr>
          <w:rFonts w:ascii="Times New Roman" w:hAnsi="Times New Roman" w:cs="Times New Roman"/>
          <w:color w:val="000000"/>
          <w:sz w:val="24"/>
          <w:szCs w:val="24"/>
        </w:rPr>
        <w:t xml:space="preserve">“Georgia law allows equitable rescission of a contract for nonperformance under O.C.G.A. § 13-4-62.”  </w:t>
      </w:r>
      <w:r w:rsidR="00A54660">
        <w:rPr>
          <w:rFonts w:ascii="Times New Roman" w:hAnsi="Times New Roman" w:cs="Times New Roman"/>
          <w:i/>
          <w:color w:val="000000"/>
          <w:sz w:val="24"/>
          <w:szCs w:val="24"/>
        </w:rPr>
        <w:t>Radio Perry, Inc. v. Cox Commc’ns, Inc.</w:t>
      </w:r>
      <w:r w:rsidR="00A54660">
        <w:rPr>
          <w:rFonts w:ascii="Times New Roman" w:hAnsi="Times New Roman" w:cs="Times New Roman"/>
          <w:color w:val="000000"/>
          <w:sz w:val="24"/>
          <w:szCs w:val="24"/>
        </w:rPr>
        <w:t xml:space="preserve">, 323 Ga. App. 604, 608 (2013) (citing </w:t>
      </w:r>
      <w:r w:rsidR="00A54660">
        <w:rPr>
          <w:rFonts w:ascii="Times New Roman" w:hAnsi="Times New Roman" w:cs="Times New Roman"/>
          <w:i/>
          <w:color w:val="000000"/>
          <w:sz w:val="24"/>
          <w:szCs w:val="24"/>
        </w:rPr>
        <w:t>Lanier Home Ctr. v. Underwood</w:t>
      </w:r>
      <w:r w:rsidR="00A54660">
        <w:rPr>
          <w:rFonts w:ascii="Times New Roman" w:hAnsi="Times New Roman" w:cs="Times New Roman"/>
          <w:color w:val="000000"/>
          <w:sz w:val="24"/>
          <w:szCs w:val="24"/>
        </w:rPr>
        <w:t xml:space="preserve">, 252 Ga. App. 745, 746 (2001)).  </w:t>
      </w:r>
      <w:r w:rsidR="004C5447">
        <w:rPr>
          <w:rFonts w:ascii="Times New Roman" w:hAnsi="Times New Roman" w:cs="Times New Roman"/>
          <w:color w:val="000000"/>
          <w:sz w:val="24"/>
          <w:szCs w:val="24"/>
        </w:rPr>
        <w:t xml:space="preserve">“The remedy of rescission for nonperformance ‘is appropriate when the breach is so substantial and fundamental as to defeat the object of the contract.’”  </w:t>
      </w:r>
      <w:r w:rsidR="004C5447">
        <w:rPr>
          <w:rFonts w:ascii="Times New Roman" w:hAnsi="Times New Roman" w:cs="Times New Roman"/>
          <w:i/>
          <w:color w:val="000000"/>
          <w:sz w:val="24"/>
          <w:szCs w:val="24"/>
        </w:rPr>
        <w:t>Id.</w:t>
      </w:r>
      <w:r w:rsidR="004C5447">
        <w:rPr>
          <w:rFonts w:ascii="Times New Roman" w:hAnsi="Times New Roman" w:cs="Times New Roman"/>
          <w:color w:val="000000"/>
          <w:sz w:val="24"/>
          <w:szCs w:val="24"/>
        </w:rPr>
        <w:t xml:space="preserve"> at 609 (quoting </w:t>
      </w:r>
      <w:r w:rsidR="004C5447">
        <w:rPr>
          <w:rFonts w:ascii="Times New Roman" w:hAnsi="Times New Roman" w:cs="Times New Roman"/>
          <w:i/>
          <w:color w:val="000000"/>
          <w:sz w:val="24"/>
          <w:szCs w:val="24"/>
        </w:rPr>
        <w:t>Yi v. Li</w:t>
      </w:r>
      <w:r w:rsidR="004C5447">
        <w:rPr>
          <w:rFonts w:ascii="Times New Roman" w:hAnsi="Times New Roman" w:cs="Times New Roman"/>
          <w:color w:val="000000"/>
          <w:sz w:val="24"/>
          <w:szCs w:val="24"/>
        </w:rPr>
        <w:t xml:space="preserve">, 313 Ga. App. 273, 277 (2011)).  </w:t>
      </w:r>
      <w:r w:rsidR="003D563E">
        <w:rPr>
          <w:rFonts w:ascii="Times New Roman" w:hAnsi="Times New Roman" w:cs="Times New Roman"/>
          <w:color w:val="000000"/>
          <w:sz w:val="24"/>
          <w:szCs w:val="24"/>
        </w:rPr>
        <w:t xml:space="preserve">“A party may rescind a contract without the consent of the opposite party on the ground of nonperformance by that party but only when both parties can be restored to the condition in which they were before the contract was made.”  </w:t>
      </w:r>
      <w:r w:rsidR="003D563E">
        <w:rPr>
          <w:rFonts w:ascii="Times New Roman" w:hAnsi="Times New Roman" w:cs="Times New Roman"/>
          <w:i/>
          <w:color w:val="000000"/>
          <w:sz w:val="24"/>
          <w:szCs w:val="24"/>
        </w:rPr>
        <w:t>Id.</w:t>
      </w:r>
      <w:r w:rsidR="00EC0E4D">
        <w:rPr>
          <w:rFonts w:ascii="Times New Roman" w:hAnsi="Times New Roman" w:cs="Times New Roman"/>
          <w:color w:val="000000"/>
          <w:sz w:val="24"/>
          <w:szCs w:val="24"/>
        </w:rPr>
        <w:t xml:space="preserve"> (quoting O.C.G.A. § 13-4-62).  This means that the “parties must be returned as nearly as possible to the status quo ante.”  </w:t>
      </w:r>
      <w:r w:rsidR="00EC0E4D">
        <w:rPr>
          <w:rFonts w:ascii="Times New Roman" w:hAnsi="Times New Roman" w:cs="Times New Roman"/>
          <w:i/>
          <w:color w:val="000000"/>
          <w:sz w:val="24"/>
          <w:szCs w:val="24"/>
        </w:rPr>
        <w:t>Id.</w:t>
      </w:r>
      <w:r w:rsidR="00EC0E4D">
        <w:rPr>
          <w:rFonts w:ascii="Times New Roman" w:hAnsi="Times New Roman" w:cs="Times New Roman"/>
          <w:color w:val="000000"/>
          <w:sz w:val="24"/>
          <w:szCs w:val="24"/>
        </w:rPr>
        <w:t xml:space="preserve"> (quoting </w:t>
      </w:r>
      <w:r w:rsidR="00EC0E4D">
        <w:rPr>
          <w:rFonts w:ascii="Times New Roman" w:hAnsi="Times New Roman" w:cs="Times New Roman"/>
          <w:i/>
          <w:color w:val="000000"/>
          <w:sz w:val="24"/>
          <w:szCs w:val="24"/>
        </w:rPr>
        <w:t>Southern Prestige Homes v. Moscoso</w:t>
      </w:r>
      <w:r w:rsidR="00EC0E4D">
        <w:rPr>
          <w:rFonts w:ascii="Times New Roman" w:hAnsi="Times New Roman" w:cs="Times New Roman"/>
          <w:color w:val="000000"/>
          <w:sz w:val="24"/>
          <w:szCs w:val="24"/>
        </w:rPr>
        <w:t>, 243 Ga. App. 412, 417 (2000)).</w:t>
      </w:r>
    </w:p>
    <w:p w:rsidR="008D3A47" w:rsidRPr="001D7736" w:rsidRDefault="008D3A47"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However, there are “circumstances under which a party need not offer restoration in order to rescind a contract, such as ‘where nothing of any value is received by the party seeking to rescind; and where the amount received under the contract sought to be rescinded may be less than the amount actually due the party seeking to rescind.’”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(quoting </w:t>
      </w:r>
      <w:r>
        <w:rPr>
          <w:rFonts w:ascii="Times New Roman" w:hAnsi="Times New Roman" w:cs="Times New Roman"/>
          <w:i/>
          <w:color w:val="000000"/>
          <w:sz w:val="24"/>
          <w:szCs w:val="24"/>
        </w:rPr>
        <w:t>Metter Banking Co. v. Millen Lumber &amp; Supply Co.</w:t>
      </w:r>
      <w:r>
        <w:rPr>
          <w:rFonts w:ascii="Times New Roman" w:hAnsi="Times New Roman" w:cs="Times New Roman"/>
          <w:color w:val="000000"/>
          <w:sz w:val="24"/>
          <w:szCs w:val="24"/>
        </w:rPr>
        <w:t xml:space="preserve">, 191 Ga. App. 634, 637-38 (1989)).  </w:t>
      </w:r>
      <w:r w:rsidR="007A0A0B">
        <w:rPr>
          <w:rFonts w:ascii="Times New Roman" w:hAnsi="Times New Roman" w:cs="Times New Roman"/>
          <w:color w:val="000000"/>
          <w:sz w:val="24"/>
          <w:szCs w:val="24"/>
        </w:rPr>
        <w:t xml:space="preserve">Moreover, the “rule that he who desires to rescind a contract must restore whatever he has received under it is one of justice and equity and must be reasonably construed and applied.  The object of the rule is theoretically to place the parties in status quo; but the rule is equitable, not technical, and does not require more than that such restoration be made as is reasonably possible and such as the merits of the case demand.”  </w:t>
      </w:r>
      <w:r w:rsidR="007A0A0B">
        <w:rPr>
          <w:rFonts w:ascii="Times New Roman" w:hAnsi="Times New Roman" w:cs="Times New Roman"/>
          <w:i/>
          <w:color w:val="000000"/>
          <w:sz w:val="24"/>
          <w:szCs w:val="24"/>
        </w:rPr>
        <w:t>Id.</w:t>
      </w:r>
      <w:r w:rsidR="007A0A0B">
        <w:rPr>
          <w:rFonts w:ascii="Times New Roman" w:hAnsi="Times New Roman" w:cs="Times New Roman"/>
          <w:color w:val="000000"/>
          <w:sz w:val="24"/>
          <w:szCs w:val="24"/>
        </w:rPr>
        <w:t xml:space="preserve"> </w:t>
      </w:r>
      <w:r w:rsidR="001D7736">
        <w:rPr>
          <w:rFonts w:ascii="Times New Roman" w:hAnsi="Times New Roman" w:cs="Times New Roman"/>
          <w:color w:val="000000"/>
          <w:sz w:val="24"/>
          <w:szCs w:val="24"/>
        </w:rPr>
        <w:t>(</w:t>
      </w:r>
      <w:r w:rsidR="007A0A0B">
        <w:rPr>
          <w:rFonts w:ascii="Times New Roman" w:hAnsi="Times New Roman" w:cs="Times New Roman"/>
          <w:color w:val="000000"/>
          <w:sz w:val="24"/>
          <w:szCs w:val="24"/>
        </w:rPr>
        <w:t xml:space="preserve">quoting </w:t>
      </w:r>
      <w:r w:rsidR="007A0A0B">
        <w:rPr>
          <w:rFonts w:ascii="Times New Roman" w:hAnsi="Times New Roman" w:cs="Times New Roman"/>
          <w:i/>
          <w:color w:val="000000"/>
          <w:sz w:val="24"/>
          <w:szCs w:val="24"/>
        </w:rPr>
        <w:t>Int’l Software Solutions v. Atlanta Pressure Treated Lumber Co.</w:t>
      </w:r>
      <w:r w:rsidR="007A0A0B">
        <w:rPr>
          <w:rFonts w:ascii="Times New Roman" w:hAnsi="Times New Roman" w:cs="Times New Roman"/>
          <w:color w:val="000000"/>
          <w:sz w:val="24"/>
          <w:szCs w:val="24"/>
        </w:rPr>
        <w:t>, 194 Ga. App. 441, 442 (1990)).</w:t>
      </w:r>
      <w:r w:rsidR="001D7736">
        <w:rPr>
          <w:rFonts w:ascii="Times New Roman" w:hAnsi="Times New Roman" w:cs="Times New Roman"/>
          <w:color w:val="000000"/>
          <w:sz w:val="24"/>
          <w:szCs w:val="24"/>
        </w:rPr>
        <w:t xml:space="preserve">  </w:t>
      </w:r>
      <w:r w:rsidR="001D7736">
        <w:rPr>
          <w:rFonts w:ascii="Times New Roman" w:hAnsi="Times New Roman" w:cs="Times New Roman"/>
          <w:i/>
          <w:color w:val="000000"/>
          <w:sz w:val="24"/>
          <w:szCs w:val="24"/>
        </w:rPr>
        <w:t>See also 2010-1 SFG Venture LLC v. Lee Bank &amp; Trust Co.</w:t>
      </w:r>
      <w:r w:rsidR="001D7736">
        <w:rPr>
          <w:rFonts w:ascii="Times New Roman" w:hAnsi="Times New Roman" w:cs="Times New Roman"/>
          <w:color w:val="000000"/>
          <w:sz w:val="24"/>
          <w:szCs w:val="24"/>
        </w:rPr>
        <w:t xml:space="preserve">, 332 Ga. App. 894, 905 (2015) </w:t>
      </w:r>
      <w:r w:rsidR="001D7736" w:rsidRPr="001D7736">
        <w:rPr>
          <w:rFonts w:ascii="Times New Roman" w:hAnsi="Times New Roman" w:cs="Times New Roman"/>
          <w:color w:val="000000"/>
          <w:sz w:val="24"/>
          <w:szCs w:val="24"/>
        </w:rPr>
        <w:t>(</w:t>
      </w:r>
      <w:r w:rsidR="001D7736" w:rsidRPr="001D7736">
        <w:rPr>
          <w:rFonts w:ascii="Times New Roman" w:hAnsi="Times New Roman" w:cs="Times New Roman"/>
          <w:color w:val="212121"/>
          <w:sz w:val="24"/>
          <w:szCs w:val="24"/>
        </w:rPr>
        <w:t>“One rescinding [a] contract is not required to return consideration, when to do so would be unreasonable or impossible.”</w:t>
      </w:r>
      <w:r w:rsidR="001D7736">
        <w:rPr>
          <w:rFonts w:ascii="Times New Roman" w:hAnsi="Times New Roman" w:cs="Times New Roman"/>
          <w:color w:val="212121"/>
          <w:sz w:val="24"/>
          <w:szCs w:val="24"/>
        </w:rPr>
        <w:t>).</w:t>
      </w:r>
    </w:p>
    <w:p w:rsidR="008663E5" w:rsidRDefault="008663E5"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D.</w:t>
      </w:r>
      <w:r>
        <w:rPr>
          <w:rFonts w:ascii="Times New Roman" w:hAnsi="Times New Roman" w:cs="Times New Roman"/>
          <w:b/>
          <w:color w:val="000000"/>
          <w:sz w:val="24"/>
          <w:szCs w:val="24"/>
        </w:rPr>
        <w:tab/>
        <w:t>Attorney’s Fees</w:t>
      </w:r>
    </w:p>
    <w:p w:rsidR="008663E5" w:rsidRPr="007252CB" w:rsidRDefault="008663E5" w:rsidP="002A6823">
      <w:pPr>
        <w:spacing w:line="36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002A6823">
        <w:rPr>
          <w:rFonts w:ascii="Times New Roman" w:hAnsi="Times New Roman" w:cs="Times New Roman"/>
          <w:color w:val="000000"/>
          <w:sz w:val="24"/>
          <w:szCs w:val="24"/>
        </w:rPr>
        <w:t>“</w:t>
      </w:r>
      <w:r w:rsidR="002A6823" w:rsidRPr="002A6823">
        <w:rPr>
          <w:rFonts w:ascii="Times New Roman" w:hAnsi="Times New Roman" w:cs="Times New Roman"/>
          <w:color w:val="000000"/>
          <w:sz w:val="24"/>
          <w:szCs w:val="24"/>
          <w:shd w:val="clear" w:color="auto" w:fill="FFFFFF"/>
        </w:rPr>
        <w:t>The expenses of litigation generally shall not be allowed as a part of the damages; but where the plaintiff has specially pleaded and has made prayer therefor and where the defendant has acted in bad faith, has been stubbornly litigious, or has caused the plaintiff unnecessary trouble and expense, the jury may allow them.</w:t>
      </w:r>
      <w:r w:rsidR="002A6823">
        <w:rPr>
          <w:rFonts w:ascii="Times New Roman" w:hAnsi="Times New Roman" w:cs="Times New Roman"/>
          <w:color w:val="000000"/>
          <w:sz w:val="24"/>
          <w:szCs w:val="24"/>
          <w:shd w:val="clear" w:color="auto" w:fill="FFFFFF"/>
        </w:rPr>
        <w:t>”  O.C.G.A. § 13-6-11.</w:t>
      </w:r>
      <w:r w:rsidR="00913FAF">
        <w:rPr>
          <w:rFonts w:ascii="Times New Roman" w:hAnsi="Times New Roman" w:cs="Times New Roman"/>
          <w:color w:val="000000"/>
          <w:sz w:val="24"/>
          <w:szCs w:val="24"/>
          <w:shd w:val="clear" w:color="auto" w:fill="FFFFFF"/>
        </w:rPr>
        <w:t xml:space="preserve">  </w:t>
      </w:r>
      <w:r w:rsidR="007252CB">
        <w:rPr>
          <w:rFonts w:ascii="Arial" w:hAnsi="Arial" w:cs="Arial"/>
          <w:color w:val="212121"/>
          <w:sz w:val="21"/>
          <w:szCs w:val="21"/>
        </w:rPr>
        <w:t> “</w:t>
      </w:r>
      <w:r w:rsidR="007252CB" w:rsidRPr="007252CB">
        <w:rPr>
          <w:rFonts w:ascii="Times New Roman" w:hAnsi="Times New Roman" w:cs="Times New Roman"/>
          <w:color w:val="212121"/>
          <w:sz w:val="24"/>
          <w:szCs w:val="24"/>
        </w:rPr>
        <w:t>A defendant who brings a counterclaim against a plaintiff becomes the plaintiff as to that counterclaim. Thus, a plaintiff-in-counterclaim asserting an independent claim may seek, along with that claim, attorney fees and litigation expenses under </w:t>
      </w:r>
      <w:r w:rsidR="007252CB">
        <w:rPr>
          <w:rFonts w:ascii="Times New Roman" w:hAnsi="Times New Roman" w:cs="Times New Roman"/>
          <w:color w:val="212121"/>
          <w:sz w:val="24"/>
          <w:szCs w:val="24"/>
        </w:rPr>
        <w:t>O.C.G.A. § 13-6-11</w:t>
      </w:r>
      <w:r w:rsidR="007252CB" w:rsidRPr="007252CB">
        <w:rPr>
          <w:rFonts w:ascii="Times New Roman" w:hAnsi="Times New Roman" w:cs="Times New Roman"/>
          <w:color w:val="212121"/>
          <w:sz w:val="24"/>
          <w:szCs w:val="24"/>
        </w:rPr>
        <w:t>, regardless of whether the independent claim is permissive or compulsory.</w:t>
      </w:r>
      <w:r w:rsidR="007252CB">
        <w:rPr>
          <w:rFonts w:ascii="Times New Roman" w:hAnsi="Times New Roman" w:cs="Times New Roman"/>
          <w:color w:val="212121"/>
          <w:sz w:val="24"/>
          <w:szCs w:val="24"/>
        </w:rPr>
        <w:t xml:space="preserve">”  </w:t>
      </w:r>
      <w:r w:rsidR="007252CB">
        <w:rPr>
          <w:rFonts w:ascii="Times New Roman" w:hAnsi="Times New Roman" w:cs="Times New Roman"/>
          <w:i/>
          <w:color w:val="212121"/>
          <w:sz w:val="24"/>
          <w:szCs w:val="24"/>
        </w:rPr>
        <w:t>SRM Group, Inc. v. Travelers Property Cas. Co. of Am.</w:t>
      </w:r>
      <w:r w:rsidR="007252CB">
        <w:rPr>
          <w:rFonts w:ascii="Times New Roman" w:hAnsi="Times New Roman" w:cs="Times New Roman"/>
          <w:color w:val="212121"/>
          <w:sz w:val="24"/>
          <w:szCs w:val="24"/>
        </w:rPr>
        <w:t>, 841 S.E.2d 729, 731 (Ga. 2020).</w:t>
      </w:r>
      <w:r w:rsidR="004B7039">
        <w:rPr>
          <w:rStyle w:val="FootnoteReference"/>
          <w:rFonts w:ascii="Times New Roman" w:hAnsi="Times New Roman" w:cs="Times New Roman"/>
          <w:color w:val="212121"/>
          <w:sz w:val="24"/>
          <w:szCs w:val="24"/>
        </w:rPr>
        <w:footnoteReference w:id="4"/>
      </w:r>
      <w:r w:rsidR="007252CB">
        <w:rPr>
          <w:rFonts w:ascii="Times New Roman" w:hAnsi="Times New Roman" w:cs="Times New Roman"/>
          <w:color w:val="212121"/>
          <w:sz w:val="24"/>
          <w:szCs w:val="24"/>
        </w:rPr>
        <w:t xml:space="preserve">  “</w:t>
      </w:r>
      <w:r w:rsidR="007252CB" w:rsidRPr="007252CB">
        <w:rPr>
          <w:rFonts w:ascii="Times New Roman" w:hAnsi="Times New Roman" w:cs="Times New Roman"/>
          <w:color w:val="212121"/>
          <w:sz w:val="24"/>
          <w:szCs w:val="24"/>
        </w:rPr>
        <w:t>A plaintiff-in-counterclaim cannot recover under </w:t>
      </w:r>
      <w:r w:rsidR="007252CB">
        <w:rPr>
          <w:rFonts w:ascii="Times New Roman" w:hAnsi="Times New Roman" w:cs="Times New Roman"/>
          <w:color w:val="212121"/>
          <w:sz w:val="24"/>
          <w:szCs w:val="24"/>
        </w:rPr>
        <w:t>O.C.G.A. § 13-6-11</w:t>
      </w:r>
      <w:r w:rsidR="007252CB" w:rsidRPr="007252CB">
        <w:rPr>
          <w:rFonts w:ascii="Times New Roman" w:hAnsi="Times New Roman" w:cs="Times New Roman"/>
          <w:color w:val="212121"/>
          <w:sz w:val="24"/>
          <w:szCs w:val="24"/>
        </w:rPr>
        <w:t> unless he prevails on his independent claim.</w:t>
      </w:r>
      <w:r w:rsidR="007252CB">
        <w:rPr>
          <w:rFonts w:ascii="Times New Roman" w:hAnsi="Times New Roman" w:cs="Times New Roman"/>
          <w:color w:val="212121"/>
          <w:sz w:val="24"/>
          <w:szCs w:val="24"/>
        </w:rPr>
        <w:t xml:space="preserve">  </w:t>
      </w:r>
      <w:r w:rsidR="007252CB" w:rsidRPr="007252CB">
        <w:rPr>
          <w:rFonts w:ascii="Times New Roman" w:hAnsi="Times New Roman" w:cs="Times New Roman"/>
          <w:color w:val="212121"/>
          <w:sz w:val="24"/>
          <w:szCs w:val="24"/>
        </w:rPr>
        <w:t xml:space="preserve">Thus, a dismissal or loss at trial on an independent </w:t>
      </w:r>
      <w:r w:rsidR="007252CB" w:rsidRPr="007252CB">
        <w:rPr>
          <w:rFonts w:ascii="Times New Roman" w:hAnsi="Times New Roman" w:cs="Times New Roman"/>
          <w:color w:val="212121"/>
          <w:sz w:val="24"/>
          <w:szCs w:val="24"/>
        </w:rPr>
        <w:lastRenderedPageBreak/>
        <w:t>claim would mean a loss on a claim under </w:t>
      </w:r>
      <w:r w:rsidR="007252CB">
        <w:rPr>
          <w:rFonts w:ascii="Times New Roman" w:hAnsi="Times New Roman" w:cs="Times New Roman"/>
          <w:color w:val="212121"/>
          <w:sz w:val="24"/>
          <w:szCs w:val="24"/>
        </w:rPr>
        <w:t>O.C.G.A. § 13-6-11</w:t>
      </w:r>
      <w:r w:rsidR="007252CB" w:rsidRPr="007252CB">
        <w:rPr>
          <w:rFonts w:ascii="Times New Roman" w:hAnsi="Times New Roman" w:cs="Times New Roman"/>
          <w:color w:val="212121"/>
          <w:sz w:val="24"/>
          <w:szCs w:val="24"/>
        </w:rPr>
        <w:t>, as well.</w:t>
      </w:r>
      <w:r w:rsidR="007252CB">
        <w:rPr>
          <w:rFonts w:ascii="Times New Roman" w:hAnsi="Times New Roman" w:cs="Times New Roman"/>
          <w:color w:val="212121"/>
          <w:sz w:val="24"/>
          <w:szCs w:val="24"/>
        </w:rPr>
        <w:t xml:space="preserve">”  </w:t>
      </w:r>
      <w:r w:rsidR="007252CB">
        <w:rPr>
          <w:rFonts w:ascii="Times New Roman" w:hAnsi="Times New Roman" w:cs="Times New Roman"/>
          <w:i/>
          <w:color w:val="212121"/>
          <w:sz w:val="24"/>
          <w:szCs w:val="24"/>
        </w:rPr>
        <w:t>Id.</w:t>
      </w:r>
      <w:r w:rsidR="007252CB">
        <w:rPr>
          <w:rFonts w:ascii="Times New Roman" w:hAnsi="Times New Roman" w:cs="Times New Roman"/>
          <w:color w:val="212121"/>
          <w:sz w:val="24"/>
          <w:szCs w:val="24"/>
        </w:rPr>
        <w:t xml:space="preserve"> at 733 (citations omitted).</w:t>
      </w:r>
    </w:p>
    <w:p w:rsidR="008F6577" w:rsidRDefault="00913FAF" w:rsidP="002A6823">
      <w:pPr>
        <w:spacing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4"/>
          <w:shd w:val="clear" w:color="auto" w:fill="FFFFFF"/>
        </w:rPr>
        <w:tab/>
      </w:r>
      <w:r w:rsidR="008F6577" w:rsidRPr="008F6577">
        <w:rPr>
          <w:rFonts w:ascii="Times New Roman" w:hAnsi="Times New Roman" w:cs="Times New Roman"/>
          <w:color w:val="212121"/>
          <w:sz w:val="24"/>
          <w:szCs w:val="24"/>
        </w:rPr>
        <w:t>“Bad faith warranting an award of attorney fees must have arisen out of how the defendant acted in dealing with the plaintiff.”</w:t>
      </w:r>
      <w:r w:rsidR="008F6577">
        <w:rPr>
          <w:rFonts w:ascii="Times New Roman" w:hAnsi="Times New Roman" w:cs="Times New Roman"/>
          <w:color w:val="212121"/>
          <w:sz w:val="24"/>
          <w:szCs w:val="24"/>
        </w:rPr>
        <w:t xml:space="preserve">  </w:t>
      </w:r>
      <w:r w:rsidR="008F6577">
        <w:rPr>
          <w:rFonts w:ascii="Times New Roman" w:hAnsi="Times New Roman" w:cs="Times New Roman"/>
          <w:i/>
          <w:color w:val="212121"/>
          <w:sz w:val="24"/>
          <w:szCs w:val="24"/>
        </w:rPr>
        <w:t>City of Lilburn v. Astra Group, Inc.</w:t>
      </w:r>
      <w:r w:rsidR="008F6577">
        <w:rPr>
          <w:rFonts w:ascii="Times New Roman" w:hAnsi="Times New Roman" w:cs="Times New Roman"/>
          <w:color w:val="212121"/>
          <w:sz w:val="24"/>
          <w:szCs w:val="24"/>
        </w:rPr>
        <w:t>, 286 Ga. App. 568, 571 (2007).</w:t>
      </w:r>
      <w:r w:rsidR="008F6577">
        <w:rPr>
          <w:rFonts w:ascii="Times New Roman" w:hAnsi="Times New Roman" w:cs="Times New Roman"/>
          <w:color w:val="000000"/>
          <w:sz w:val="24"/>
          <w:szCs w:val="24"/>
          <w:shd w:val="clear" w:color="auto" w:fill="FFFFFF"/>
        </w:rPr>
        <w:t xml:space="preserve">  Specifically, t</w:t>
      </w:r>
      <w:r>
        <w:rPr>
          <w:rFonts w:ascii="Times New Roman" w:hAnsi="Times New Roman" w:cs="Times New Roman"/>
          <w:color w:val="000000"/>
          <w:sz w:val="24"/>
          <w:szCs w:val="24"/>
          <w:shd w:val="clear" w:color="auto" w:fill="FFFFFF"/>
        </w:rPr>
        <w:t xml:space="preserve">he element of </w:t>
      </w:r>
      <w:r w:rsidRPr="00913FAF">
        <w:rPr>
          <w:rFonts w:ascii="Times New Roman" w:hAnsi="Times New Roman" w:cs="Times New Roman"/>
          <w:color w:val="212121"/>
          <w:sz w:val="24"/>
          <w:szCs w:val="24"/>
        </w:rPr>
        <w:t xml:space="preserve">bad faith </w:t>
      </w:r>
      <w:r>
        <w:rPr>
          <w:rFonts w:ascii="Times New Roman" w:hAnsi="Times New Roman" w:cs="Times New Roman"/>
          <w:color w:val="212121"/>
          <w:sz w:val="24"/>
          <w:szCs w:val="24"/>
        </w:rPr>
        <w:t>“</w:t>
      </w:r>
      <w:r w:rsidR="00864BA3">
        <w:rPr>
          <w:rFonts w:ascii="Times New Roman" w:hAnsi="Times New Roman" w:cs="Times New Roman"/>
          <w:color w:val="212121"/>
          <w:sz w:val="24"/>
          <w:szCs w:val="24"/>
        </w:rPr>
        <w:t>relates to the defendant’</w:t>
      </w:r>
      <w:r w:rsidRPr="00913FAF">
        <w:rPr>
          <w:rFonts w:ascii="Times New Roman" w:hAnsi="Times New Roman" w:cs="Times New Roman"/>
          <w:color w:val="212121"/>
          <w:sz w:val="24"/>
          <w:szCs w:val="24"/>
        </w:rPr>
        <w:t>s conduct in entering into the contract or pertains to the transaction and dealings out of which the cause of act</w:t>
      </w:r>
      <w:r w:rsidR="00864BA3">
        <w:rPr>
          <w:rFonts w:ascii="Times New Roman" w:hAnsi="Times New Roman" w:cs="Times New Roman"/>
          <w:color w:val="212121"/>
          <w:sz w:val="24"/>
          <w:szCs w:val="24"/>
        </w:rPr>
        <w:t>ion arose, not to the defendant’</w:t>
      </w:r>
      <w:r w:rsidRPr="00913FAF">
        <w:rPr>
          <w:rFonts w:ascii="Times New Roman" w:hAnsi="Times New Roman" w:cs="Times New Roman"/>
          <w:color w:val="212121"/>
          <w:sz w:val="24"/>
          <w:szCs w:val="24"/>
        </w:rPr>
        <w:t>s conduct after the cause of action arose</w:t>
      </w:r>
      <w:r w:rsidR="008F6577">
        <w:rPr>
          <w:rFonts w:ascii="Times New Roman" w:hAnsi="Times New Roman" w:cs="Times New Roman"/>
          <w:color w:val="212121"/>
          <w:sz w:val="24"/>
          <w:szCs w:val="24"/>
        </w:rPr>
        <w:t>.”</w:t>
      </w:r>
      <w:r w:rsidR="00FF79F8">
        <w:rPr>
          <w:rStyle w:val="FootnoteReference"/>
          <w:rFonts w:ascii="Times New Roman" w:hAnsi="Times New Roman" w:cs="Times New Roman"/>
          <w:color w:val="212121"/>
          <w:sz w:val="24"/>
          <w:szCs w:val="24"/>
        </w:rPr>
        <w:footnoteReference w:id="5"/>
      </w:r>
      <w:r w:rsidR="008F6577">
        <w:rPr>
          <w:rFonts w:ascii="Times New Roman" w:hAnsi="Times New Roman" w:cs="Times New Roman"/>
          <w:color w:val="212121"/>
          <w:sz w:val="24"/>
          <w:szCs w:val="24"/>
        </w:rPr>
        <w:t xml:space="preserve">  </w:t>
      </w:r>
      <w:r w:rsidR="008F6577">
        <w:rPr>
          <w:rFonts w:ascii="Times New Roman" w:hAnsi="Times New Roman" w:cs="Times New Roman"/>
          <w:i/>
          <w:color w:val="212121"/>
          <w:sz w:val="24"/>
          <w:szCs w:val="24"/>
        </w:rPr>
        <w:t>Id.</w:t>
      </w:r>
      <w:r w:rsidR="00864BA3">
        <w:rPr>
          <w:rFonts w:ascii="Times New Roman" w:hAnsi="Times New Roman" w:cs="Times New Roman"/>
          <w:color w:val="212121"/>
          <w:sz w:val="24"/>
          <w:szCs w:val="24"/>
        </w:rPr>
        <w:t xml:space="preserve">  “Bad</w:t>
      </w:r>
      <w:r w:rsidR="00864BA3" w:rsidRPr="00864BA3">
        <w:rPr>
          <w:rFonts w:ascii="Times New Roman" w:eastAsia="Times New Roman" w:hAnsi="Times New Roman" w:cs="Times New Roman"/>
          <w:color w:val="000000"/>
          <w:sz w:val="24"/>
          <w:szCs w:val="24"/>
          <w:shd w:val="clear" w:color="auto" w:fill="FFFFFF"/>
        </w:rPr>
        <w:t xml:space="preserve"> faith other than mere refusal to pay a just debt is sufficient, provided it is not prompted by an honest mistake as to one's rights or duties but by some interested or sinister motive.</w:t>
      </w:r>
      <w:r w:rsidR="00864BA3">
        <w:rPr>
          <w:rFonts w:ascii="Times New Roman" w:eastAsia="Times New Roman" w:hAnsi="Times New Roman" w:cs="Times New Roman"/>
          <w:color w:val="000000"/>
          <w:sz w:val="24"/>
          <w:szCs w:val="24"/>
          <w:shd w:val="clear" w:color="auto" w:fill="FFFFFF"/>
        </w:rPr>
        <w:t xml:space="preserve"> </w:t>
      </w:r>
      <w:r w:rsidR="00864BA3" w:rsidRPr="00864BA3">
        <w:rPr>
          <w:rFonts w:ascii="Times New Roman" w:eastAsia="Times New Roman" w:hAnsi="Times New Roman" w:cs="Times New Roman"/>
          <w:color w:val="000000"/>
          <w:sz w:val="24"/>
          <w:szCs w:val="24"/>
          <w:shd w:val="clear" w:color="auto" w:fill="FFFFFF"/>
        </w:rPr>
        <w:t xml:space="preserve"> So defendants can be held liable for attorney fees if they committed the breach in bad faith</w:t>
      </w:r>
      <w:r w:rsidR="00864BA3">
        <w:rPr>
          <w:rFonts w:ascii="Times New Roman" w:eastAsia="Times New Roman" w:hAnsi="Times New Roman" w:cs="Times New Roman"/>
          <w:color w:val="000000"/>
          <w:sz w:val="24"/>
          <w:szCs w:val="24"/>
          <w:shd w:val="clear" w:color="auto" w:fill="FFFFFF"/>
        </w:rPr>
        <w:t xml:space="preserve">.  </w:t>
      </w:r>
      <w:r w:rsidR="00864BA3" w:rsidRPr="00864BA3">
        <w:rPr>
          <w:rFonts w:ascii="Times New Roman" w:eastAsia="Times New Roman" w:hAnsi="Times New Roman" w:cs="Times New Roman"/>
          <w:i/>
          <w:color w:val="000000"/>
          <w:sz w:val="24"/>
          <w:szCs w:val="24"/>
        </w:rPr>
        <w:t>Graves v. Diambrose</w:t>
      </w:r>
      <w:r w:rsidR="00864BA3" w:rsidRPr="00864BA3">
        <w:rPr>
          <w:rFonts w:ascii="Times New Roman" w:eastAsia="Times New Roman" w:hAnsi="Times New Roman" w:cs="Times New Roman"/>
          <w:color w:val="000000"/>
          <w:sz w:val="24"/>
          <w:szCs w:val="24"/>
        </w:rPr>
        <w:t>, 243 Ga. App. 802, 803 (2000)</w:t>
      </w:r>
      <w:r w:rsidR="00864BA3">
        <w:rPr>
          <w:rFonts w:ascii="Times New Roman" w:eastAsia="Times New Roman" w:hAnsi="Times New Roman" w:cs="Times New Roman"/>
          <w:color w:val="000000"/>
          <w:sz w:val="24"/>
          <w:szCs w:val="24"/>
        </w:rPr>
        <w:t xml:space="preserve">.  </w:t>
      </w:r>
      <w:r w:rsidR="008F6577" w:rsidRPr="00864BA3">
        <w:rPr>
          <w:rFonts w:ascii="Times New Roman" w:hAnsi="Times New Roman" w:cs="Times New Roman"/>
          <w:color w:val="212121"/>
          <w:sz w:val="24"/>
          <w:szCs w:val="24"/>
        </w:rPr>
        <w:t>Moreover,</w:t>
      </w:r>
      <w:r w:rsidR="008F6577">
        <w:rPr>
          <w:rFonts w:ascii="Arial" w:hAnsi="Arial" w:cs="Arial"/>
          <w:color w:val="212121"/>
          <w:sz w:val="21"/>
          <w:szCs w:val="21"/>
        </w:rPr>
        <w:t xml:space="preserve"> </w:t>
      </w:r>
      <w:r w:rsidR="008F6577" w:rsidRPr="008F6577">
        <w:rPr>
          <w:rFonts w:ascii="Times New Roman" w:hAnsi="Times New Roman" w:cs="Times New Roman"/>
          <w:color w:val="212121"/>
          <w:sz w:val="24"/>
          <w:szCs w:val="24"/>
        </w:rPr>
        <w:t>“[e]ven where there is a bona fide controversy as to liability, a jury may find that a defendant acted in the most atrocious bad faith in its dealing with the plaintiff.”</w:t>
      </w:r>
      <w:r w:rsidR="00864BA3">
        <w:rPr>
          <w:rFonts w:ascii="Times New Roman" w:hAnsi="Times New Roman" w:cs="Times New Roman"/>
          <w:color w:val="212121"/>
          <w:sz w:val="24"/>
          <w:szCs w:val="24"/>
        </w:rPr>
        <w:t xml:space="preserve">  </w:t>
      </w:r>
      <w:r w:rsidR="00864BA3">
        <w:rPr>
          <w:rFonts w:ascii="Times New Roman" w:hAnsi="Times New Roman" w:cs="Times New Roman"/>
          <w:i/>
          <w:color w:val="212121"/>
          <w:sz w:val="24"/>
          <w:szCs w:val="24"/>
        </w:rPr>
        <w:t>City of Lilburn</w:t>
      </w:r>
      <w:r w:rsidR="00864BA3">
        <w:rPr>
          <w:rFonts w:ascii="Times New Roman" w:hAnsi="Times New Roman" w:cs="Times New Roman"/>
          <w:color w:val="212121"/>
          <w:sz w:val="24"/>
          <w:szCs w:val="24"/>
        </w:rPr>
        <w:t>, 286 Ga. App. at 571.</w:t>
      </w:r>
    </w:p>
    <w:p w:rsidR="00864BA3" w:rsidRDefault="00864BA3" w:rsidP="002A6823">
      <w:pPr>
        <w:spacing w:line="36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ab/>
        <w:t>“</w:t>
      </w:r>
      <w:r w:rsidRPr="00864BA3">
        <w:rPr>
          <w:rFonts w:ascii="Times New Roman" w:hAnsi="Times New Roman" w:cs="Times New Roman"/>
          <w:color w:val="212121"/>
          <w:sz w:val="24"/>
          <w:szCs w:val="24"/>
        </w:rPr>
        <w:t xml:space="preserve">As to whether the defendant was stubbornly litigious or caused the plaintiff unnecessary trouble and expense, mere refusal to pay a disputed claim, without suit is not sufficient to award attorney fees. The key to the test is whether there is a bona fide controversy. </w:t>
      </w:r>
      <w:r>
        <w:rPr>
          <w:rFonts w:ascii="Times New Roman" w:hAnsi="Times New Roman" w:cs="Times New Roman"/>
          <w:color w:val="212121"/>
          <w:sz w:val="24"/>
          <w:szCs w:val="24"/>
        </w:rPr>
        <w:t xml:space="preserve"> </w:t>
      </w:r>
      <w:r w:rsidRPr="00864BA3">
        <w:rPr>
          <w:rFonts w:ascii="Times New Roman" w:hAnsi="Times New Roman" w:cs="Times New Roman"/>
          <w:color w:val="212121"/>
          <w:sz w:val="24"/>
          <w:szCs w:val="24"/>
        </w:rPr>
        <w:t xml:space="preserve">Where none exists, forcing a plaintiff to resort to the courts in order to collect is plainly causing him to go to unnecessary trouble and expense. </w:t>
      </w:r>
      <w:r>
        <w:rPr>
          <w:rFonts w:ascii="Times New Roman" w:hAnsi="Times New Roman" w:cs="Times New Roman"/>
          <w:color w:val="212121"/>
          <w:sz w:val="24"/>
          <w:szCs w:val="24"/>
        </w:rPr>
        <w:t xml:space="preserve"> </w:t>
      </w:r>
      <w:r w:rsidRPr="00864BA3">
        <w:rPr>
          <w:rFonts w:ascii="Times New Roman" w:hAnsi="Times New Roman" w:cs="Times New Roman"/>
          <w:color w:val="212121"/>
          <w:sz w:val="24"/>
          <w:szCs w:val="24"/>
        </w:rPr>
        <w:t>However, recovery of attorney fees for stubborn litigiousness is not authorized where there is a bona fide controversy</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Graves</w:t>
      </w:r>
      <w:r>
        <w:rPr>
          <w:rFonts w:ascii="Times New Roman" w:hAnsi="Times New Roman" w:cs="Times New Roman"/>
          <w:color w:val="212121"/>
          <w:sz w:val="24"/>
          <w:szCs w:val="24"/>
        </w:rPr>
        <w:t xml:space="preserve">, 243 Ga. App. at 803.  </w:t>
      </w:r>
      <w:r>
        <w:rPr>
          <w:rFonts w:ascii="Times New Roman" w:hAnsi="Times New Roman" w:cs="Times New Roman"/>
          <w:i/>
          <w:color w:val="212121"/>
          <w:sz w:val="24"/>
          <w:szCs w:val="24"/>
        </w:rPr>
        <w:t>See also Vol Repairs II Inc. v. Knighten</w:t>
      </w:r>
      <w:r>
        <w:rPr>
          <w:rFonts w:ascii="Times New Roman" w:hAnsi="Times New Roman" w:cs="Times New Roman"/>
          <w:color w:val="212121"/>
          <w:sz w:val="24"/>
          <w:szCs w:val="24"/>
        </w:rPr>
        <w:t>, 322 Ga. App. 416, 419 (2013) (“Where a bona fide controversy exists, attorney fees may be awarded under O.C.G.A. § 13-6-11 only where the party sought to be charged has acted in bad faith in the underlying transaction.”</w:t>
      </w:r>
      <w:r w:rsidR="00907F46">
        <w:rPr>
          <w:rFonts w:ascii="Times New Roman" w:hAnsi="Times New Roman" w:cs="Times New Roman"/>
          <w:color w:val="212121"/>
          <w:sz w:val="24"/>
          <w:szCs w:val="24"/>
        </w:rPr>
        <w:t>).</w:t>
      </w:r>
    </w:p>
    <w:p w:rsidR="00A51C80" w:rsidRPr="00A51C80" w:rsidRDefault="00A51C80" w:rsidP="00A51C80">
      <w:pPr>
        <w:spacing w:after="0" w:line="360" w:lineRule="auto"/>
        <w:ind w:firstLine="720"/>
        <w:contextualSpacing/>
        <w:rPr>
          <w:rFonts w:ascii="Arial" w:eastAsia="Times New Roman" w:hAnsi="Arial" w:cs="Arial"/>
          <w:color w:val="000000"/>
          <w:sz w:val="24"/>
          <w:szCs w:val="24"/>
        </w:rPr>
      </w:pPr>
      <w:r w:rsidRPr="00A51C80">
        <w:rPr>
          <w:rFonts w:ascii="Times New Roman" w:eastAsia="Times New Roman" w:hAnsi="Times New Roman" w:cs="Times New Roman"/>
          <w:color w:val="000000"/>
          <w:sz w:val="24"/>
          <w:szCs w:val="24"/>
          <w:shd w:val="clear" w:color="auto" w:fill="FFFFFF"/>
        </w:rPr>
        <w:t>“As indicated by the plain language of the statute, the determination of whether there has been bad faith in support of an award pursuant to O</w:t>
      </w:r>
      <w:r>
        <w:rPr>
          <w:rFonts w:ascii="Times New Roman" w:eastAsia="Times New Roman" w:hAnsi="Times New Roman" w:cs="Times New Roman"/>
          <w:color w:val="000000"/>
          <w:sz w:val="24"/>
          <w:szCs w:val="24"/>
          <w:shd w:val="clear" w:color="auto" w:fill="FFFFFF"/>
        </w:rPr>
        <w:t>.</w:t>
      </w:r>
      <w:r w:rsidRPr="00A51C80">
        <w:rPr>
          <w:rFonts w:ascii="Times New Roman" w:eastAsia="Times New Roman" w:hAnsi="Times New Roman" w:cs="Times New Roman"/>
          <w:color w:val="000000"/>
          <w:sz w:val="24"/>
          <w:szCs w:val="24"/>
          <w:shd w:val="clear" w:color="auto" w:fill="FFFFFF"/>
        </w:rPr>
        <w:t>C</w:t>
      </w:r>
      <w:r>
        <w:rPr>
          <w:rFonts w:ascii="Times New Roman" w:eastAsia="Times New Roman" w:hAnsi="Times New Roman" w:cs="Times New Roman"/>
          <w:color w:val="000000"/>
          <w:sz w:val="24"/>
          <w:szCs w:val="24"/>
          <w:shd w:val="clear" w:color="auto" w:fill="FFFFFF"/>
        </w:rPr>
        <w:t>.</w:t>
      </w:r>
      <w:r w:rsidRPr="00A51C80">
        <w:rPr>
          <w:rFonts w:ascii="Times New Roman" w:eastAsia="Times New Roman" w:hAnsi="Times New Roman" w:cs="Times New Roman"/>
          <w:color w:val="000000"/>
          <w:sz w:val="24"/>
          <w:szCs w:val="24"/>
          <w:shd w:val="clear" w:color="auto" w:fill="FFFFFF"/>
        </w:rPr>
        <w:t>G</w:t>
      </w:r>
      <w:r>
        <w:rPr>
          <w:rFonts w:ascii="Times New Roman" w:eastAsia="Times New Roman" w:hAnsi="Times New Roman" w:cs="Times New Roman"/>
          <w:color w:val="000000"/>
          <w:sz w:val="24"/>
          <w:szCs w:val="24"/>
          <w:shd w:val="clear" w:color="auto" w:fill="FFFFFF"/>
        </w:rPr>
        <w:t>.</w:t>
      </w:r>
      <w:r w:rsidRPr="00A51C80">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w:t>
      </w:r>
      <w:r w:rsidRPr="00A51C80">
        <w:rPr>
          <w:rFonts w:ascii="Times New Roman" w:eastAsia="Times New Roman" w:hAnsi="Times New Roman" w:cs="Times New Roman"/>
          <w:color w:val="000000"/>
          <w:sz w:val="24"/>
          <w:szCs w:val="24"/>
          <w:shd w:val="clear" w:color="auto" w:fill="FFFFFF"/>
        </w:rPr>
        <w:t xml:space="preserve"> § 13-6-11 is </w:t>
      </w:r>
      <w:r w:rsidRPr="00A51C80">
        <w:rPr>
          <w:rFonts w:ascii="Times New Roman" w:eastAsia="Times New Roman" w:hAnsi="Times New Roman" w:cs="Times New Roman"/>
          <w:color w:val="000000"/>
          <w:sz w:val="24"/>
          <w:szCs w:val="24"/>
          <w:shd w:val="clear" w:color="auto" w:fill="FFFFFF"/>
        </w:rPr>
        <w:lastRenderedPageBreak/>
        <w:t>normally an issue for a jury.”</w:t>
      </w:r>
      <w:r>
        <w:rPr>
          <w:rFonts w:ascii="Times New Roman" w:eastAsia="Times New Roman" w:hAnsi="Times New Roman" w:cs="Times New Roman"/>
          <w:color w:val="000000"/>
          <w:sz w:val="24"/>
          <w:szCs w:val="24"/>
          <w:shd w:val="clear" w:color="auto" w:fill="FFFFFF"/>
        </w:rPr>
        <w:t xml:space="preserve">  </w:t>
      </w:r>
      <w:r w:rsidRPr="00A51C80">
        <w:rPr>
          <w:rFonts w:ascii="Times New Roman" w:eastAsia="Times New Roman" w:hAnsi="Times New Roman" w:cs="Times New Roman"/>
          <w:i/>
          <w:color w:val="000000"/>
          <w:sz w:val="24"/>
          <w:szCs w:val="24"/>
        </w:rPr>
        <w:t>Caldwell v. Church</w:t>
      </w:r>
      <w:r w:rsidRPr="00A51C80">
        <w:rPr>
          <w:rFonts w:ascii="Times New Roman" w:eastAsia="Times New Roman" w:hAnsi="Times New Roman" w:cs="Times New Roman"/>
          <w:color w:val="000000"/>
          <w:sz w:val="24"/>
          <w:szCs w:val="24"/>
        </w:rPr>
        <w:t>, 341 Ga. App. 852, 858 (2017)</w:t>
      </w:r>
      <w:r>
        <w:rPr>
          <w:rFonts w:ascii="Times New Roman" w:eastAsia="Times New Roman" w:hAnsi="Times New Roman" w:cs="Times New Roman"/>
          <w:color w:val="000000"/>
          <w:sz w:val="24"/>
          <w:szCs w:val="24"/>
        </w:rPr>
        <w:t xml:space="preserve"> (citations omitted).  </w:t>
      </w:r>
      <w:r w:rsidRPr="00A51C80">
        <w:rPr>
          <w:rFonts w:ascii="Times New Roman" w:hAnsi="Times New Roman" w:cs="Times New Roman"/>
          <w:color w:val="212121"/>
          <w:sz w:val="24"/>
          <w:szCs w:val="24"/>
        </w:rPr>
        <w:t>Consequently, “because both the liability for and amount of attorney fees pursuant to</w:t>
      </w:r>
      <w:r>
        <w:rPr>
          <w:rFonts w:ascii="Times New Roman" w:hAnsi="Times New Roman" w:cs="Times New Roman"/>
          <w:color w:val="212121"/>
          <w:sz w:val="24"/>
          <w:szCs w:val="24"/>
        </w:rPr>
        <w:t xml:space="preserve"> [the statute]</w:t>
      </w:r>
      <w:r w:rsidRPr="00A51C80">
        <w:rPr>
          <w:rFonts w:ascii="Times New Roman" w:hAnsi="Times New Roman" w:cs="Times New Roman"/>
          <w:color w:val="212121"/>
          <w:sz w:val="24"/>
          <w:szCs w:val="24"/>
        </w:rPr>
        <w:t> </w:t>
      </w:r>
      <w:r>
        <w:rPr>
          <w:rFonts w:ascii="Times New Roman" w:hAnsi="Times New Roman" w:cs="Times New Roman"/>
          <w:color w:val="212121"/>
          <w:sz w:val="24"/>
          <w:szCs w:val="24"/>
        </w:rPr>
        <w:t>a</w:t>
      </w:r>
      <w:r w:rsidRPr="00A51C80">
        <w:rPr>
          <w:rFonts w:ascii="Times New Roman" w:hAnsi="Times New Roman" w:cs="Times New Roman"/>
          <w:color w:val="212121"/>
          <w:sz w:val="24"/>
          <w:szCs w:val="24"/>
        </w:rPr>
        <w:t>re solely for the jury’s determination, a trial court is not authorized to grant summary judgment in favor of a claimant therefor.”</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(quoting </w:t>
      </w:r>
      <w:r>
        <w:rPr>
          <w:rFonts w:ascii="Times New Roman" w:hAnsi="Times New Roman" w:cs="Times New Roman"/>
          <w:i/>
          <w:color w:val="212121"/>
          <w:sz w:val="24"/>
          <w:szCs w:val="24"/>
        </w:rPr>
        <w:t>Covington Square Assoc. v. Ingles Mkts.</w:t>
      </w:r>
      <w:r>
        <w:rPr>
          <w:rFonts w:ascii="Times New Roman" w:hAnsi="Times New Roman" w:cs="Times New Roman"/>
          <w:color w:val="212121"/>
          <w:sz w:val="24"/>
          <w:szCs w:val="24"/>
        </w:rPr>
        <w:t>, 287 Ga. 445, 446 (2010)).</w:t>
      </w:r>
    </w:p>
    <w:p w:rsidR="00A27D49" w:rsidRDefault="00A27D49" w:rsidP="00A27D4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u w:val="single"/>
        </w:rPr>
        <w:t>Large Multiparty Contract Dispute Do’s and Don’ts</w:t>
      </w:r>
    </w:p>
    <w:p w:rsidR="00A27D49" w:rsidRDefault="00752BB3" w:rsidP="00A27D49">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t>Don’t Forget Alternative Quasi-Contractual Causes of Action</w:t>
      </w:r>
      <w:r w:rsidR="00FC6A2E">
        <w:rPr>
          <w:rFonts w:ascii="Times New Roman" w:hAnsi="Times New Roman" w:cs="Times New Roman"/>
          <w:b/>
          <w:sz w:val="24"/>
          <w:szCs w:val="24"/>
        </w:rPr>
        <w:t>.</w:t>
      </w:r>
    </w:p>
    <w:p w:rsidR="00752BB3" w:rsidRDefault="00752BB3" w:rsidP="00A27D4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Quantum Meruit</w:t>
      </w:r>
    </w:p>
    <w:p w:rsidR="00752BB3" w:rsidRDefault="00752BB3"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7413AD">
        <w:rPr>
          <w:rFonts w:ascii="Times New Roman" w:hAnsi="Times New Roman" w:cs="Times New Roman"/>
          <w:sz w:val="24"/>
          <w:szCs w:val="24"/>
        </w:rPr>
        <w:t xml:space="preserve">“The essential elements of a claim of quantum meruit are that the provider performed services valuable to the recipient that were requested by or knowingly accepted by the recipient, that the recipient’s receipt of the services without compensating the provider would be unjust, and that the provider expected compensation at the time the services were performed.”  </w:t>
      </w:r>
      <w:r w:rsidR="007413AD">
        <w:rPr>
          <w:rFonts w:ascii="Times New Roman" w:hAnsi="Times New Roman" w:cs="Times New Roman"/>
          <w:i/>
          <w:sz w:val="24"/>
          <w:szCs w:val="24"/>
        </w:rPr>
        <w:t>One Bluff Drive, LLC v. K.A.P., Inc.</w:t>
      </w:r>
      <w:r w:rsidR="007413AD">
        <w:rPr>
          <w:rFonts w:ascii="Times New Roman" w:hAnsi="Times New Roman" w:cs="Times New Roman"/>
          <w:sz w:val="24"/>
          <w:szCs w:val="24"/>
        </w:rPr>
        <w:t xml:space="preserve">, 330 Ga. App. 45, 47 (2014) (citing </w:t>
      </w:r>
      <w:r w:rsidR="007413AD">
        <w:rPr>
          <w:rFonts w:ascii="Times New Roman" w:hAnsi="Times New Roman" w:cs="Times New Roman"/>
          <w:i/>
          <w:sz w:val="24"/>
          <w:szCs w:val="24"/>
        </w:rPr>
        <w:t>Hollifield v. Monte Vista Biblical Gardens</w:t>
      </w:r>
      <w:r w:rsidR="007413AD">
        <w:rPr>
          <w:rFonts w:ascii="Times New Roman" w:hAnsi="Times New Roman" w:cs="Times New Roman"/>
          <w:sz w:val="24"/>
          <w:szCs w:val="24"/>
        </w:rPr>
        <w:t>, 251 Ga. App. 124, 128-29 (2001)).</w:t>
      </w:r>
      <w:r w:rsidR="00666C9E">
        <w:rPr>
          <w:rFonts w:ascii="Times New Roman" w:hAnsi="Times New Roman" w:cs="Times New Roman"/>
          <w:sz w:val="24"/>
          <w:szCs w:val="24"/>
        </w:rPr>
        <w:t xml:space="preserve">  Even if there is an express contract, “if services not contemplated by the original agreement become necessary to achieve the contractual objective and are rendered and accepted, the law implies and enforces performance of a promise to pay for such extra services.”  </w:t>
      </w:r>
      <w:r w:rsidR="00666C9E">
        <w:rPr>
          <w:rFonts w:ascii="Times New Roman" w:hAnsi="Times New Roman" w:cs="Times New Roman"/>
          <w:i/>
          <w:sz w:val="24"/>
          <w:szCs w:val="24"/>
        </w:rPr>
        <w:t>Id.</w:t>
      </w:r>
      <w:r w:rsidR="00666C9E">
        <w:rPr>
          <w:rFonts w:ascii="Times New Roman" w:hAnsi="Times New Roman" w:cs="Times New Roman"/>
          <w:sz w:val="24"/>
          <w:szCs w:val="24"/>
        </w:rPr>
        <w:t xml:space="preserve"> (quoting </w:t>
      </w:r>
      <w:r w:rsidR="00666C9E">
        <w:rPr>
          <w:rFonts w:ascii="Times New Roman" w:hAnsi="Times New Roman" w:cs="Times New Roman"/>
          <w:i/>
          <w:sz w:val="24"/>
          <w:szCs w:val="24"/>
        </w:rPr>
        <w:t>Puritan Mills, Inc. v. Pickering Const</w:t>
      </w:r>
      <w:r w:rsidR="008278E8">
        <w:rPr>
          <w:rFonts w:ascii="Times New Roman" w:hAnsi="Times New Roman" w:cs="Times New Roman"/>
          <w:i/>
          <w:sz w:val="24"/>
          <w:szCs w:val="24"/>
        </w:rPr>
        <w:t>r</w:t>
      </w:r>
      <w:r w:rsidR="00666C9E">
        <w:rPr>
          <w:rFonts w:ascii="Times New Roman" w:hAnsi="Times New Roman" w:cs="Times New Roman"/>
          <w:i/>
          <w:sz w:val="24"/>
          <w:szCs w:val="24"/>
        </w:rPr>
        <w:t>. Co.</w:t>
      </w:r>
      <w:r w:rsidR="00666C9E">
        <w:rPr>
          <w:rFonts w:ascii="Times New Roman" w:hAnsi="Times New Roman" w:cs="Times New Roman"/>
          <w:sz w:val="24"/>
          <w:szCs w:val="24"/>
        </w:rPr>
        <w:t>, 152 Ga. App. 309, 310 (1979)).</w:t>
      </w:r>
    </w:p>
    <w:p w:rsidR="00B04C74" w:rsidRPr="00B04C74" w:rsidRDefault="00B04C74"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“Proof of the reasonable value of services rendered to and accepted by a defendant is an element essential to recovery on a quantum meruit basis.  The key inquiry is not the value of the labor but the value of the benefit resulting from such labor to the recipient; if there is no benefit to the recipient, then there is no recovery for something of value to the recipient.”  </w:t>
      </w:r>
      <w:r>
        <w:rPr>
          <w:rFonts w:ascii="Times New Roman" w:hAnsi="Times New Roman" w:cs="Times New Roman"/>
          <w:i/>
          <w:sz w:val="24"/>
          <w:szCs w:val="24"/>
        </w:rPr>
        <w:t>Hamler v. Wood</w:t>
      </w:r>
      <w:r>
        <w:rPr>
          <w:rFonts w:ascii="Times New Roman" w:hAnsi="Times New Roman" w:cs="Times New Roman"/>
          <w:sz w:val="24"/>
          <w:szCs w:val="24"/>
        </w:rPr>
        <w:t xml:space="preserve">, 337 Ga. App. 319, 322-23 (2016) (quoting </w:t>
      </w:r>
      <w:r>
        <w:rPr>
          <w:rFonts w:ascii="Times New Roman" w:hAnsi="Times New Roman" w:cs="Times New Roman"/>
          <w:i/>
          <w:sz w:val="24"/>
          <w:szCs w:val="24"/>
        </w:rPr>
        <w:t>Diegert v. Cedarbrook Homes</w:t>
      </w:r>
      <w:r>
        <w:rPr>
          <w:rFonts w:ascii="Times New Roman" w:hAnsi="Times New Roman" w:cs="Times New Roman"/>
          <w:sz w:val="24"/>
          <w:szCs w:val="24"/>
        </w:rPr>
        <w:t>, 267 Ga. App. 264, 265 (2004)).</w:t>
      </w:r>
    </w:p>
    <w:p w:rsidR="008278E8" w:rsidRDefault="008278E8"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has long been the law in Georgia that although a party may plead in alternative counts, no recovery may be had in quantum meruit when a contract governs all claimed rights and responsibilities of the parties.”  </w:t>
      </w:r>
      <w:r>
        <w:rPr>
          <w:rFonts w:ascii="Times New Roman" w:hAnsi="Times New Roman" w:cs="Times New Roman"/>
          <w:i/>
          <w:sz w:val="24"/>
          <w:szCs w:val="24"/>
        </w:rPr>
        <w:t>Graybill v. Attaway Constr. &amp; Assocs., LLC</w:t>
      </w:r>
      <w:r>
        <w:rPr>
          <w:rFonts w:ascii="Times New Roman" w:hAnsi="Times New Roman" w:cs="Times New Roman"/>
          <w:sz w:val="24"/>
          <w:szCs w:val="24"/>
        </w:rPr>
        <w:t xml:space="preserve">, 341 Ga. App. 805, 811-12 (2017) (quoting </w:t>
      </w:r>
      <w:r>
        <w:rPr>
          <w:rFonts w:ascii="Times New Roman" w:hAnsi="Times New Roman" w:cs="Times New Roman"/>
          <w:i/>
          <w:sz w:val="24"/>
          <w:szCs w:val="24"/>
        </w:rPr>
        <w:t>Holder Constr. Group v. Ga. Tech Facilities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282 Ga. App. 796, 801 (2006)).  </w:t>
      </w:r>
      <w:r w:rsidR="00400131">
        <w:rPr>
          <w:rFonts w:ascii="Times New Roman" w:hAnsi="Times New Roman" w:cs="Times New Roman"/>
          <w:sz w:val="24"/>
          <w:szCs w:val="24"/>
        </w:rPr>
        <w:t xml:space="preserve">“Similarly, while it is true that ‘a party may pursue inconsistent remedies, he is not permitted a double recovery of the same damages for the same wrong.  He is entitled to only one satisfaction of the same damages.’”  </w:t>
      </w:r>
      <w:r w:rsidR="00400131">
        <w:rPr>
          <w:rFonts w:ascii="Times New Roman" w:hAnsi="Times New Roman" w:cs="Times New Roman"/>
          <w:i/>
          <w:sz w:val="24"/>
          <w:szCs w:val="24"/>
        </w:rPr>
        <w:t>Id.</w:t>
      </w:r>
      <w:r w:rsidR="00400131">
        <w:rPr>
          <w:rFonts w:ascii="Times New Roman" w:hAnsi="Times New Roman" w:cs="Times New Roman"/>
          <w:sz w:val="24"/>
          <w:szCs w:val="24"/>
        </w:rPr>
        <w:t xml:space="preserve"> at 812 (quoting </w:t>
      </w:r>
      <w:r w:rsidR="00400131">
        <w:rPr>
          <w:rFonts w:ascii="Times New Roman" w:hAnsi="Times New Roman" w:cs="Times New Roman"/>
          <w:i/>
          <w:sz w:val="24"/>
          <w:szCs w:val="24"/>
        </w:rPr>
        <w:t>Marvin Nix Dev. Co. v. United Community Bank</w:t>
      </w:r>
      <w:r w:rsidR="00400131">
        <w:rPr>
          <w:rFonts w:ascii="Times New Roman" w:hAnsi="Times New Roman" w:cs="Times New Roman"/>
          <w:sz w:val="24"/>
          <w:szCs w:val="24"/>
        </w:rPr>
        <w:t>, 302 Ga. App. 566, 568 (2010)).</w:t>
      </w:r>
      <w:r w:rsidR="005358EF">
        <w:rPr>
          <w:rFonts w:ascii="Times New Roman" w:hAnsi="Times New Roman" w:cs="Times New Roman"/>
          <w:sz w:val="24"/>
          <w:szCs w:val="24"/>
        </w:rPr>
        <w:t xml:space="preserve">  Thus, while a claimant is “not required to make an election between inconsistent remedies prior to the verdict, he must make, and be given the opportunity to make, an election prior to the formulation and entry of judgment.”  </w:t>
      </w:r>
      <w:r w:rsidR="005358EF">
        <w:rPr>
          <w:rFonts w:ascii="Times New Roman" w:hAnsi="Times New Roman" w:cs="Times New Roman"/>
          <w:i/>
          <w:sz w:val="24"/>
          <w:szCs w:val="24"/>
        </w:rPr>
        <w:t>Id.</w:t>
      </w:r>
      <w:r w:rsidR="005358EF">
        <w:rPr>
          <w:rFonts w:ascii="Times New Roman" w:hAnsi="Times New Roman" w:cs="Times New Roman"/>
          <w:sz w:val="24"/>
          <w:szCs w:val="24"/>
        </w:rPr>
        <w:t xml:space="preserve"> (quoting </w:t>
      </w:r>
      <w:r w:rsidR="005358EF">
        <w:rPr>
          <w:rFonts w:ascii="Times New Roman" w:hAnsi="Times New Roman" w:cs="Times New Roman"/>
          <w:i/>
          <w:sz w:val="24"/>
          <w:szCs w:val="24"/>
        </w:rPr>
        <w:t>UIV Corp. v. Oswald</w:t>
      </w:r>
      <w:r w:rsidR="005358EF">
        <w:rPr>
          <w:rFonts w:ascii="Times New Roman" w:hAnsi="Times New Roman" w:cs="Times New Roman"/>
          <w:sz w:val="24"/>
          <w:szCs w:val="24"/>
        </w:rPr>
        <w:t>, 139 Ga. App. 697, 699 (1976)).</w:t>
      </w:r>
    </w:p>
    <w:p w:rsidR="00C05DDE" w:rsidRDefault="00C05DDE"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t>Unjust Enrichment</w:t>
      </w:r>
    </w:p>
    <w:p w:rsidR="00C05DDE" w:rsidRDefault="00C05DDE"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E634E8">
        <w:rPr>
          <w:rFonts w:ascii="Times New Roman" w:hAnsi="Times New Roman" w:cs="Times New Roman"/>
          <w:sz w:val="24"/>
          <w:szCs w:val="24"/>
        </w:rPr>
        <w:t xml:space="preserve">“The theory of unjust enrichment is basically an equitable doctrine that the benefitted party equitably ought to either return or compensate for the conferred benefits when there was no legal contract to pay.”  </w:t>
      </w:r>
      <w:r w:rsidR="00E634E8">
        <w:rPr>
          <w:rFonts w:ascii="Times New Roman" w:hAnsi="Times New Roman" w:cs="Times New Roman"/>
          <w:i/>
          <w:sz w:val="24"/>
          <w:szCs w:val="24"/>
        </w:rPr>
        <w:t>Marvin Hewitt Enters., Inc. v. Butler Capital Corp.</w:t>
      </w:r>
      <w:r w:rsidR="00E634E8">
        <w:rPr>
          <w:rFonts w:ascii="Times New Roman" w:hAnsi="Times New Roman" w:cs="Times New Roman"/>
          <w:sz w:val="24"/>
          <w:szCs w:val="24"/>
        </w:rPr>
        <w:t xml:space="preserve">, 328 Ga. App. 317, 322 (2014) (quoting </w:t>
      </w:r>
      <w:r w:rsidR="00E634E8">
        <w:rPr>
          <w:rFonts w:ascii="Times New Roman" w:hAnsi="Times New Roman" w:cs="Times New Roman"/>
          <w:i/>
          <w:sz w:val="24"/>
          <w:szCs w:val="24"/>
        </w:rPr>
        <w:t>Bedsole v. Action Outdoor Adver. JV</w:t>
      </w:r>
      <w:r w:rsidR="00E634E8">
        <w:rPr>
          <w:rFonts w:ascii="Times New Roman" w:hAnsi="Times New Roman" w:cs="Times New Roman"/>
          <w:sz w:val="24"/>
          <w:szCs w:val="24"/>
        </w:rPr>
        <w:t>, 325 Ga. App. 194, 200 (2013)).</w:t>
      </w:r>
      <w:r w:rsidR="00BD06F1">
        <w:rPr>
          <w:rFonts w:ascii="Times New Roman" w:hAnsi="Times New Roman" w:cs="Times New Roman"/>
          <w:sz w:val="24"/>
          <w:szCs w:val="24"/>
        </w:rPr>
        <w:t xml:space="preserve">  “The doctrine applies when, as a matter of fact, there is no contract.”  </w:t>
      </w:r>
      <w:r w:rsidR="00BD06F1">
        <w:rPr>
          <w:rFonts w:ascii="Times New Roman" w:hAnsi="Times New Roman" w:cs="Times New Roman"/>
          <w:i/>
          <w:sz w:val="24"/>
          <w:szCs w:val="24"/>
        </w:rPr>
        <w:t>Id.</w:t>
      </w:r>
      <w:r w:rsidR="00BD06F1">
        <w:rPr>
          <w:rFonts w:ascii="Times New Roman" w:hAnsi="Times New Roman" w:cs="Times New Roman"/>
          <w:sz w:val="24"/>
          <w:szCs w:val="24"/>
        </w:rPr>
        <w:t xml:space="preserve"> (citing </w:t>
      </w:r>
      <w:r w:rsidR="00BD06F1">
        <w:rPr>
          <w:rFonts w:ascii="Times New Roman" w:hAnsi="Times New Roman" w:cs="Times New Roman"/>
          <w:i/>
          <w:sz w:val="24"/>
          <w:szCs w:val="24"/>
        </w:rPr>
        <w:t>Tuvim v. United Jewish Communities</w:t>
      </w:r>
      <w:r w:rsidR="00BD06F1">
        <w:rPr>
          <w:rFonts w:ascii="Times New Roman" w:hAnsi="Times New Roman" w:cs="Times New Roman"/>
          <w:sz w:val="24"/>
          <w:szCs w:val="24"/>
        </w:rPr>
        <w:t xml:space="preserve">, 285 Ga. 632, 635 (2009)) (additional citations omitted).  “Where there is an express contract, there can be no recovery based upon an unjust enrichment theory.”  </w:t>
      </w:r>
      <w:r w:rsidR="00BD06F1">
        <w:rPr>
          <w:rFonts w:ascii="Times New Roman" w:hAnsi="Times New Roman" w:cs="Times New Roman"/>
          <w:i/>
          <w:sz w:val="24"/>
          <w:szCs w:val="24"/>
        </w:rPr>
        <w:t>Id.</w:t>
      </w:r>
      <w:r w:rsidR="00BD06F1">
        <w:rPr>
          <w:rFonts w:ascii="Times New Roman" w:hAnsi="Times New Roman" w:cs="Times New Roman"/>
          <w:sz w:val="24"/>
          <w:szCs w:val="24"/>
        </w:rPr>
        <w:t xml:space="preserve"> at 322-23 (citing </w:t>
      </w:r>
      <w:r w:rsidR="00BD06F1">
        <w:rPr>
          <w:rFonts w:ascii="Times New Roman" w:hAnsi="Times New Roman" w:cs="Times New Roman"/>
          <w:i/>
          <w:sz w:val="24"/>
          <w:szCs w:val="24"/>
        </w:rPr>
        <w:t>Han v. Han</w:t>
      </w:r>
      <w:r w:rsidR="00BD06F1">
        <w:rPr>
          <w:rFonts w:ascii="Times New Roman" w:hAnsi="Times New Roman" w:cs="Times New Roman"/>
          <w:sz w:val="24"/>
          <w:szCs w:val="24"/>
        </w:rPr>
        <w:t>, 295 Ga. App. 1, 4 (2008)).</w:t>
      </w:r>
      <w:r w:rsidR="00BB76D0">
        <w:rPr>
          <w:rFonts w:ascii="Times New Roman" w:hAnsi="Times New Roman" w:cs="Times New Roman"/>
          <w:sz w:val="24"/>
          <w:szCs w:val="24"/>
        </w:rPr>
        <w:t xml:space="preserve">  However, where the existence of a contract is a jury question, the plaintiff’s alternative claim for unjust enrichment can survive summary judgment.  </w:t>
      </w:r>
      <w:r w:rsidR="00BB76D0">
        <w:rPr>
          <w:rFonts w:ascii="Times New Roman" w:hAnsi="Times New Roman" w:cs="Times New Roman"/>
          <w:i/>
          <w:sz w:val="24"/>
          <w:szCs w:val="24"/>
        </w:rPr>
        <w:t>Id.</w:t>
      </w:r>
      <w:r w:rsidR="00BB76D0">
        <w:rPr>
          <w:rFonts w:ascii="Times New Roman" w:hAnsi="Times New Roman" w:cs="Times New Roman"/>
          <w:sz w:val="24"/>
          <w:szCs w:val="24"/>
        </w:rPr>
        <w:t xml:space="preserve"> at 323 (citation omitted).</w:t>
      </w:r>
    </w:p>
    <w:p w:rsidR="00BB76D0" w:rsidRDefault="00BB76D0"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t>Promissory Estoppel</w:t>
      </w:r>
    </w:p>
    <w:p w:rsidR="00BB76D0" w:rsidRDefault="00BB76D0"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531A2B">
        <w:rPr>
          <w:rFonts w:ascii="Times New Roman" w:hAnsi="Times New Roman" w:cs="Times New Roman"/>
          <w:sz w:val="24"/>
          <w:szCs w:val="24"/>
        </w:rPr>
        <w:t xml:space="preserve">“Under the doctrine of promissory estoppel, ‘[a] promise which the promisor should reasonably expect to induce action or forbearance on the part of the promisee or a third person and which does induce such action or forbearance is binding if injustice can be avoided only by enforcement of the promise.”  </w:t>
      </w:r>
      <w:r w:rsidR="00531A2B">
        <w:rPr>
          <w:rFonts w:ascii="Times New Roman" w:hAnsi="Times New Roman" w:cs="Times New Roman"/>
          <w:i/>
          <w:sz w:val="24"/>
          <w:szCs w:val="24"/>
        </w:rPr>
        <w:t>Zhong v. PNC Bank, N.A.</w:t>
      </w:r>
      <w:r w:rsidR="00531A2B">
        <w:rPr>
          <w:rFonts w:ascii="Times New Roman" w:hAnsi="Times New Roman" w:cs="Times New Roman"/>
          <w:sz w:val="24"/>
          <w:szCs w:val="24"/>
        </w:rPr>
        <w:t xml:space="preserve">, 345 Ga. App. 135, 148 (2018) (quoting O.C.G.A. § 13-3-44(a)).  To recover for promissory estoppel, a plaintiff must show: “(1) the defendant made a promise or promises; (2) the defendant should have reasonably expected the plaintiff to rely on such promise; (3) the plaintiff relied on such promise to [her] detriment; and (4) an injustice can only be </w:t>
      </w:r>
      <w:r w:rsidR="00531A2B">
        <w:rPr>
          <w:rFonts w:ascii="Times New Roman" w:hAnsi="Times New Roman" w:cs="Times New Roman"/>
          <w:sz w:val="24"/>
          <w:szCs w:val="24"/>
        </w:rPr>
        <w:lastRenderedPageBreak/>
        <w:t xml:space="preserve">avoided by the enforcement of the promise, because as a result of the reliance, plaintiff changed [her] position to [her] detriment by surrendering, forgoing, or rendering a valuable right.”  </w:t>
      </w:r>
      <w:r w:rsidR="00531A2B">
        <w:rPr>
          <w:rFonts w:ascii="Times New Roman" w:hAnsi="Times New Roman" w:cs="Times New Roman"/>
          <w:i/>
          <w:sz w:val="24"/>
          <w:szCs w:val="24"/>
        </w:rPr>
        <w:t>Id.</w:t>
      </w:r>
      <w:r w:rsidR="00531A2B">
        <w:rPr>
          <w:rFonts w:ascii="Times New Roman" w:hAnsi="Times New Roman" w:cs="Times New Roman"/>
          <w:sz w:val="24"/>
          <w:szCs w:val="24"/>
        </w:rPr>
        <w:t xml:space="preserve"> (quoting </w:t>
      </w:r>
      <w:r w:rsidR="00531A2B">
        <w:rPr>
          <w:rFonts w:ascii="Times New Roman" w:hAnsi="Times New Roman" w:cs="Times New Roman"/>
          <w:i/>
          <w:sz w:val="24"/>
          <w:szCs w:val="24"/>
        </w:rPr>
        <w:t>Hendon Props., LLC v. Cinema Dev., LLC</w:t>
      </w:r>
      <w:r w:rsidR="00531A2B">
        <w:rPr>
          <w:rFonts w:ascii="Times New Roman" w:hAnsi="Times New Roman" w:cs="Times New Roman"/>
          <w:sz w:val="24"/>
          <w:szCs w:val="24"/>
        </w:rPr>
        <w:t xml:space="preserve">, 275 Ga. App. 434, 438-39 (2005)).  “Promissory estoppel claims are extremely fact specific and are not susceptible to application of general rules.”  </w:t>
      </w:r>
      <w:r w:rsidR="00531A2B">
        <w:rPr>
          <w:rFonts w:ascii="Times New Roman" w:hAnsi="Times New Roman" w:cs="Times New Roman"/>
          <w:i/>
          <w:sz w:val="24"/>
          <w:szCs w:val="24"/>
        </w:rPr>
        <w:t>Id.</w:t>
      </w:r>
      <w:r w:rsidR="00531A2B">
        <w:rPr>
          <w:rFonts w:ascii="Times New Roman" w:hAnsi="Times New Roman" w:cs="Times New Roman"/>
          <w:sz w:val="24"/>
          <w:szCs w:val="24"/>
        </w:rPr>
        <w:t xml:space="preserve"> (quoting </w:t>
      </w:r>
      <w:r w:rsidR="00531A2B">
        <w:rPr>
          <w:rFonts w:ascii="Times New Roman" w:hAnsi="Times New Roman" w:cs="Times New Roman"/>
          <w:i/>
          <w:sz w:val="24"/>
          <w:szCs w:val="24"/>
        </w:rPr>
        <w:t>DPLM, Ltd. v. J.H. Harvey Co.</w:t>
      </w:r>
      <w:r w:rsidR="00531A2B">
        <w:rPr>
          <w:rFonts w:ascii="Times New Roman" w:hAnsi="Times New Roman" w:cs="Times New Roman"/>
          <w:sz w:val="24"/>
          <w:szCs w:val="24"/>
        </w:rPr>
        <w:t>, 241 Ga. App. 219, 220 (1999)).</w:t>
      </w:r>
    </w:p>
    <w:p w:rsidR="00FC6A2E" w:rsidRDefault="00FC6A2E" w:rsidP="00A27D49">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Do Assert Claims for Breach of the Covenant of Good Faith and Fair</w:t>
      </w:r>
    </w:p>
    <w:p w:rsidR="00FC6A2E" w:rsidRDefault="00FC6A2E" w:rsidP="00A27D4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Dealing if Appropriate.</w:t>
      </w:r>
    </w:p>
    <w:p w:rsidR="00FC6A2E" w:rsidRDefault="00FC6A2E" w:rsidP="00A27D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743D6E">
        <w:rPr>
          <w:rFonts w:ascii="Times New Roman" w:hAnsi="Times New Roman" w:cs="Times New Roman"/>
          <w:sz w:val="24"/>
          <w:szCs w:val="24"/>
        </w:rPr>
        <w:t xml:space="preserve">“Every contract implies a covenant of good faith and fair dealing in the contract’s performance and enforcement.”  </w:t>
      </w:r>
      <w:r w:rsidR="00743D6E">
        <w:rPr>
          <w:rFonts w:ascii="Times New Roman" w:hAnsi="Times New Roman" w:cs="Times New Roman"/>
          <w:i/>
          <w:sz w:val="24"/>
          <w:szCs w:val="24"/>
        </w:rPr>
        <w:t>Layer v. Clipper Petroleum, Inc.</w:t>
      </w:r>
      <w:r w:rsidR="00743D6E">
        <w:rPr>
          <w:rFonts w:ascii="Times New Roman" w:hAnsi="Times New Roman" w:cs="Times New Roman"/>
          <w:sz w:val="24"/>
          <w:szCs w:val="24"/>
        </w:rPr>
        <w:t xml:space="preserve">, 319 Ga. App. 410, 419 (2012) (quoting </w:t>
      </w:r>
      <w:r w:rsidR="00743D6E">
        <w:rPr>
          <w:rFonts w:ascii="Times New Roman" w:hAnsi="Times New Roman" w:cs="Times New Roman"/>
          <w:i/>
          <w:sz w:val="24"/>
          <w:szCs w:val="24"/>
        </w:rPr>
        <w:t>Secured Realty &amp; Inv. v. Bank of North Ga.</w:t>
      </w:r>
      <w:r w:rsidR="00743D6E">
        <w:rPr>
          <w:rFonts w:ascii="Times New Roman" w:hAnsi="Times New Roman" w:cs="Times New Roman"/>
          <w:sz w:val="24"/>
          <w:szCs w:val="24"/>
        </w:rPr>
        <w:t xml:space="preserve">, 314 Ga. App. 628, 630 (2012)).  “The implied covenant modifies and becomes part of the provisions of the contract, but the covenant cannot be breached apart from the contract provisions that it modifies and therefore cannot provide an independent basis for liability.”  </w:t>
      </w:r>
      <w:r w:rsidR="00743D6E">
        <w:rPr>
          <w:rFonts w:ascii="Times New Roman" w:hAnsi="Times New Roman" w:cs="Times New Roman"/>
          <w:i/>
          <w:sz w:val="24"/>
          <w:szCs w:val="24"/>
        </w:rPr>
        <w:t>Id.</w:t>
      </w:r>
      <w:r w:rsidR="00743D6E">
        <w:rPr>
          <w:rFonts w:ascii="Times New Roman" w:hAnsi="Times New Roman" w:cs="Times New Roman"/>
          <w:sz w:val="24"/>
          <w:szCs w:val="24"/>
        </w:rPr>
        <w:t xml:space="preserve"> (quoting </w:t>
      </w:r>
      <w:r w:rsidR="00743D6E">
        <w:rPr>
          <w:rFonts w:ascii="Times New Roman" w:hAnsi="Times New Roman" w:cs="Times New Roman"/>
          <w:i/>
          <w:sz w:val="24"/>
          <w:szCs w:val="24"/>
        </w:rPr>
        <w:t>Myung Sung Presbyterian Church v. North Am. Assoc. of Slavic Churches &amp; Ministries</w:t>
      </w:r>
      <w:r w:rsidR="00743D6E">
        <w:rPr>
          <w:rFonts w:ascii="Times New Roman" w:hAnsi="Times New Roman" w:cs="Times New Roman"/>
          <w:sz w:val="24"/>
          <w:szCs w:val="24"/>
        </w:rPr>
        <w:t>, 291 Ga. App. 808, 810 (2008)).</w:t>
      </w:r>
      <w:r w:rsidR="00BD6CD6">
        <w:rPr>
          <w:rFonts w:ascii="Times New Roman" w:hAnsi="Times New Roman" w:cs="Times New Roman"/>
          <w:sz w:val="24"/>
          <w:szCs w:val="24"/>
        </w:rPr>
        <w:t xml:space="preserve">  </w:t>
      </w:r>
      <w:r w:rsidR="00BD6CD6">
        <w:rPr>
          <w:rFonts w:ascii="Times New Roman" w:hAnsi="Times New Roman" w:cs="Times New Roman"/>
          <w:i/>
          <w:sz w:val="24"/>
          <w:szCs w:val="24"/>
        </w:rPr>
        <w:t>See also Walker v. Oglethorpe Power Corp.</w:t>
      </w:r>
      <w:r w:rsidR="00BD6CD6">
        <w:rPr>
          <w:rFonts w:ascii="Times New Roman" w:hAnsi="Times New Roman" w:cs="Times New Roman"/>
          <w:sz w:val="24"/>
          <w:szCs w:val="24"/>
        </w:rPr>
        <w:t>, 341 Ga. App. 647, 673 (2017) (holding that the plaintiffs could not maintain a claim for the breach of the covenant of good faith and fair dealing because they had not alleged a viable claim for breach of contract).</w:t>
      </w:r>
    </w:p>
    <w:p w:rsidR="00BD6CD6" w:rsidRDefault="00BD6CD6" w:rsidP="00A27D49">
      <w:pPr>
        <w:spacing w:line="360" w:lineRule="auto"/>
        <w:contextualSpacing/>
        <w:rPr>
          <w:rStyle w:val="Emphasis"/>
          <w:rFonts w:ascii="Times New Roman" w:hAnsi="Times New Roman" w:cs="Times New Roman"/>
          <w:i w:val="0"/>
          <w:color w:val="212121"/>
          <w:sz w:val="24"/>
          <w:szCs w:val="24"/>
        </w:rPr>
      </w:pPr>
      <w:r>
        <w:rPr>
          <w:rFonts w:ascii="Times New Roman" w:hAnsi="Times New Roman" w:cs="Times New Roman"/>
          <w:sz w:val="24"/>
          <w:szCs w:val="24"/>
        </w:rPr>
        <w:tab/>
        <w:t>The implied duty of good faith and fair dealing “</w:t>
      </w:r>
      <w:r w:rsidRPr="00BD6CD6">
        <w:rPr>
          <w:rFonts w:ascii="Times New Roman" w:hAnsi="Times New Roman" w:cs="Times New Roman"/>
          <w:color w:val="212121"/>
          <w:sz w:val="24"/>
          <w:szCs w:val="24"/>
        </w:rPr>
        <w:t>requires both parties to a contract to perform their promises and provide such cooperation as is required for the other party's performance. And, </w:t>
      </w:r>
      <w:r w:rsidRPr="00BD6CD6">
        <w:rPr>
          <w:rStyle w:val="Emphasis"/>
          <w:rFonts w:ascii="Times New Roman" w:hAnsi="Times New Roman" w:cs="Times New Roman"/>
          <w:i w:val="0"/>
          <w:color w:val="212121"/>
          <w:sz w:val="24"/>
          <w:szCs w:val="24"/>
        </w:rPr>
        <w:t>whether the manner of performance is left more or less to the discretion of one of the parties to the contract, he is bound to the exercise of good faith</w:t>
      </w:r>
      <w:r w:rsidRPr="00BD6CD6">
        <w:rPr>
          <w:rStyle w:val="Emphasis"/>
          <w:rFonts w:ascii="Times New Roman" w:hAnsi="Times New Roman" w:cs="Times New Roman"/>
          <w:color w:val="212121"/>
          <w:sz w:val="24"/>
          <w:szCs w:val="24"/>
        </w:rPr>
        <w:t>.</w:t>
      </w:r>
      <w:r w:rsidR="0000289E">
        <w:rPr>
          <w:rStyle w:val="Emphasis"/>
          <w:rFonts w:ascii="Times New Roman" w:hAnsi="Times New Roman" w:cs="Times New Roman"/>
          <w:i w:val="0"/>
          <w:color w:val="212121"/>
          <w:sz w:val="24"/>
          <w:szCs w:val="24"/>
        </w:rPr>
        <w:t xml:space="preserve">”  </w:t>
      </w:r>
      <w:r w:rsidR="0000289E">
        <w:rPr>
          <w:rStyle w:val="Emphasis"/>
          <w:rFonts w:ascii="Times New Roman" w:hAnsi="Times New Roman" w:cs="Times New Roman"/>
          <w:color w:val="212121"/>
          <w:sz w:val="24"/>
          <w:szCs w:val="24"/>
        </w:rPr>
        <w:t>Brazeal v. NewPoint Media Group, LLC</w:t>
      </w:r>
      <w:r w:rsidR="0000289E">
        <w:rPr>
          <w:rStyle w:val="Emphasis"/>
          <w:rFonts w:ascii="Times New Roman" w:hAnsi="Times New Roman" w:cs="Times New Roman"/>
          <w:i w:val="0"/>
          <w:color w:val="212121"/>
          <w:sz w:val="24"/>
          <w:szCs w:val="24"/>
        </w:rPr>
        <w:t xml:space="preserve">, 340 Ga. App. 689, 692 (2017) (quoting </w:t>
      </w:r>
      <w:r w:rsidR="0000289E">
        <w:rPr>
          <w:rStyle w:val="Emphasis"/>
          <w:rFonts w:ascii="Times New Roman" w:hAnsi="Times New Roman" w:cs="Times New Roman"/>
          <w:color w:val="212121"/>
          <w:sz w:val="24"/>
          <w:szCs w:val="24"/>
        </w:rPr>
        <w:t>Hunting Aircraft, Inc. v. Peachtree City Airport Auth.</w:t>
      </w:r>
      <w:r w:rsidR="0000289E">
        <w:rPr>
          <w:rStyle w:val="Emphasis"/>
          <w:rFonts w:ascii="Times New Roman" w:hAnsi="Times New Roman" w:cs="Times New Roman"/>
          <w:i w:val="0"/>
          <w:color w:val="212121"/>
          <w:sz w:val="24"/>
          <w:szCs w:val="24"/>
        </w:rPr>
        <w:t>, 281 Ga. App. 450, 451 (2006)).  At the same time,</w:t>
      </w:r>
    </w:p>
    <w:p w:rsidR="0000289E" w:rsidRDefault="0000289E" w:rsidP="0000289E">
      <w:pPr>
        <w:spacing w:line="360" w:lineRule="auto"/>
        <w:ind w:left="1440"/>
        <w:contextualSpacing/>
        <w:rPr>
          <w:rFonts w:ascii="Times New Roman" w:hAnsi="Times New Roman" w:cs="Times New Roman"/>
          <w:color w:val="212121"/>
          <w:sz w:val="24"/>
          <w:szCs w:val="24"/>
        </w:rPr>
      </w:pPr>
      <w:r w:rsidRPr="0000289E">
        <w:rPr>
          <w:rFonts w:ascii="Times New Roman" w:hAnsi="Times New Roman" w:cs="Times New Roman"/>
          <w:color w:val="212121"/>
          <w:sz w:val="24"/>
          <w:szCs w:val="24"/>
        </w:rPr>
        <w:t xml:space="preserve">[f]irms that have negotiated contracts are entitled to enforce them to the letter, even to the great discomfort of their trading partners, without being mulcted for lack of “good faith.” Although courts often refer to the </w:t>
      </w:r>
      <w:r w:rsidRPr="0000289E">
        <w:rPr>
          <w:rFonts w:ascii="Times New Roman" w:hAnsi="Times New Roman" w:cs="Times New Roman"/>
          <w:color w:val="212121"/>
          <w:sz w:val="24"/>
          <w:szCs w:val="24"/>
        </w:rPr>
        <w:lastRenderedPageBreak/>
        <w:t>obligation of good faith that exists in every contractual relation, this is not an invitation to the court to decide whether one party ought to have exercised privileges expressly reserved in the document. “Good faith” is a compact reference to an implied undertaking not to take opportunistic advantage in a way that could not have been contemplated at the time of drafting, and which therefore was not resolved explicitly by the parties. When the contract is silent, principles of good faith fill the gap. They do not block use of terms that actually appear in the contract.</w:t>
      </w:r>
    </w:p>
    <w:p w:rsidR="0000289E" w:rsidRPr="0000289E" w:rsidRDefault="0000289E" w:rsidP="0000289E">
      <w:pPr>
        <w:spacing w:line="360" w:lineRule="auto"/>
        <w:contextualSpacing/>
        <w:rPr>
          <w:rFonts w:ascii="Times New Roman" w:hAnsi="Times New Roman" w:cs="Times New Roman"/>
          <w:sz w:val="24"/>
          <w:szCs w:val="24"/>
        </w:rPr>
      </w:pP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(quoting </w:t>
      </w:r>
      <w:r>
        <w:rPr>
          <w:rFonts w:ascii="Times New Roman" w:hAnsi="Times New Roman" w:cs="Times New Roman"/>
          <w:i/>
          <w:color w:val="212121"/>
          <w:sz w:val="24"/>
          <w:szCs w:val="24"/>
        </w:rPr>
        <w:t>Martin v. Hamilton State Bank</w:t>
      </w:r>
      <w:r>
        <w:rPr>
          <w:rFonts w:ascii="Times New Roman" w:hAnsi="Times New Roman" w:cs="Times New Roman"/>
          <w:color w:val="212121"/>
          <w:sz w:val="24"/>
          <w:szCs w:val="24"/>
        </w:rPr>
        <w:t xml:space="preserve">, 314 Ga. App. 334, 335-36 (2012)).  </w:t>
      </w:r>
      <w:r>
        <w:rPr>
          <w:rFonts w:ascii="Times New Roman" w:hAnsi="Times New Roman" w:cs="Times New Roman"/>
          <w:i/>
          <w:color w:val="212121"/>
          <w:sz w:val="24"/>
          <w:szCs w:val="24"/>
        </w:rPr>
        <w:t>See also Nine Twenty, LLC v. Bank of the Ozarks</w:t>
      </w:r>
      <w:r>
        <w:rPr>
          <w:rFonts w:ascii="Times New Roman" w:hAnsi="Times New Roman" w:cs="Times New Roman"/>
          <w:color w:val="212121"/>
          <w:sz w:val="24"/>
          <w:szCs w:val="24"/>
        </w:rPr>
        <w:t>, 337 Ga. App. 180, 183 (2016) (“[T]here can be no breach of an implied covenant of good faith where a party to a contract has done what the provisions of the contract expressly give him the right to do.”).</w:t>
      </w:r>
    </w:p>
    <w:p w:rsidR="00A27D49" w:rsidRDefault="00A27D49" w:rsidP="00A27D4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Pr>
          <w:rFonts w:ascii="Times New Roman" w:hAnsi="Times New Roman" w:cs="Times New Roman"/>
          <w:b/>
          <w:sz w:val="24"/>
          <w:szCs w:val="24"/>
          <w:u w:val="single"/>
        </w:rPr>
        <w:t>Who’s Responsible? Recent Case Law and Current Trends</w:t>
      </w:r>
    </w:p>
    <w:p w:rsidR="00B20D75" w:rsidRPr="00B20D75" w:rsidRDefault="00B20D75" w:rsidP="00B20D75">
      <w:pPr>
        <w:spacing w:line="360" w:lineRule="auto"/>
        <w:ind w:left="1440" w:hanging="720"/>
        <w:contextual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t>Contract Construction Questions are Often Decided on Summary Judgment.</w:t>
      </w:r>
    </w:p>
    <w:p w:rsidR="00A27D49" w:rsidRDefault="000C048B" w:rsidP="00A27D49">
      <w:pPr>
        <w:spacing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3B78AB" w:rsidRPr="003B78AB">
        <w:rPr>
          <w:rFonts w:ascii="Times New Roman" w:hAnsi="Times New Roman" w:cs="Times New Roman"/>
          <w:sz w:val="24"/>
          <w:szCs w:val="24"/>
        </w:rPr>
        <w:t>“</w:t>
      </w:r>
      <w:r w:rsidR="003B78AB" w:rsidRPr="003B78AB">
        <w:rPr>
          <w:rFonts w:ascii="Times New Roman" w:hAnsi="Times New Roman" w:cs="Times New Roman"/>
          <w:color w:val="000000"/>
          <w:sz w:val="24"/>
          <w:szCs w:val="24"/>
        </w:rPr>
        <w:t>The cardinal rule of construction is, of course, to ascertain the intention of the parties, as set out in the language of the contract. In this regard, contract disputes are particularly well suited for adjudication by summary judgment because construction of contracts is ordinarily a matter of law for the court.”</w:t>
      </w:r>
      <w:r w:rsidR="003B78AB">
        <w:rPr>
          <w:rFonts w:ascii="Times New Roman" w:hAnsi="Times New Roman" w:cs="Times New Roman"/>
          <w:color w:val="000000"/>
          <w:sz w:val="24"/>
          <w:szCs w:val="24"/>
        </w:rPr>
        <w:t xml:space="preserve">  </w:t>
      </w:r>
      <w:r w:rsidR="003B78AB">
        <w:rPr>
          <w:rFonts w:ascii="Times New Roman" w:hAnsi="Times New Roman" w:cs="Times New Roman"/>
          <w:i/>
          <w:color w:val="000000"/>
          <w:sz w:val="24"/>
          <w:szCs w:val="24"/>
        </w:rPr>
        <w:t>Fannie Mae v. Las</w:t>
      </w:r>
      <w:r w:rsidR="0068180A">
        <w:rPr>
          <w:rFonts w:ascii="Times New Roman" w:hAnsi="Times New Roman" w:cs="Times New Roman"/>
          <w:i/>
          <w:color w:val="000000"/>
          <w:sz w:val="24"/>
          <w:szCs w:val="24"/>
        </w:rPr>
        <w:t xml:space="preserve"> Colinas Apts., LLC</w:t>
      </w:r>
      <w:r w:rsidR="0068180A">
        <w:rPr>
          <w:rFonts w:ascii="Times New Roman" w:hAnsi="Times New Roman" w:cs="Times New Roman"/>
          <w:color w:val="000000"/>
          <w:sz w:val="24"/>
          <w:szCs w:val="24"/>
        </w:rPr>
        <w:t xml:space="preserve">, 815 S.E.2d 334, 336 (Ga. </w:t>
      </w:r>
      <w:r w:rsidR="0011171A">
        <w:rPr>
          <w:rFonts w:ascii="Times New Roman" w:hAnsi="Times New Roman" w:cs="Times New Roman"/>
          <w:color w:val="000000"/>
          <w:sz w:val="24"/>
          <w:szCs w:val="24"/>
        </w:rPr>
        <w:t xml:space="preserve">Ct. </w:t>
      </w:r>
      <w:r w:rsidR="0068180A">
        <w:rPr>
          <w:rFonts w:ascii="Times New Roman" w:hAnsi="Times New Roman" w:cs="Times New Roman"/>
          <w:color w:val="000000"/>
          <w:sz w:val="24"/>
          <w:szCs w:val="24"/>
        </w:rPr>
        <w:t xml:space="preserve">App. 2018) (quoting </w:t>
      </w:r>
      <w:r w:rsidR="0068180A">
        <w:rPr>
          <w:rFonts w:ascii="Times New Roman" w:hAnsi="Times New Roman" w:cs="Times New Roman"/>
          <w:i/>
          <w:color w:val="000000"/>
          <w:sz w:val="24"/>
          <w:szCs w:val="24"/>
        </w:rPr>
        <w:t>Y. C. Dev., Inc. v. Norton</w:t>
      </w:r>
      <w:r w:rsidR="0068180A">
        <w:rPr>
          <w:rFonts w:ascii="Times New Roman" w:hAnsi="Times New Roman" w:cs="Times New Roman"/>
          <w:color w:val="000000"/>
          <w:sz w:val="24"/>
          <w:szCs w:val="24"/>
        </w:rPr>
        <w:t xml:space="preserve">, 344 Ga. App. 69, </w:t>
      </w:r>
      <w:r w:rsidR="00664474">
        <w:rPr>
          <w:rFonts w:ascii="Times New Roman" w:hAnsi="Times New Roman" w:cs="Times New Roman"/>
          <w:color w:val="000000"/>
          <w:sz w:val="24"/>
          <w:szCs w:val="24"/>
        </w:rPr>
        <w:t>72-</w:t>
      </w:r>
      <w:r w:rsidR="0068180A">
        <w:rPr>
          <w:rFonts w:ascii="Times New Roman" w:hAnsi="Times New Roman" w:cs="Times New Roman"/>
          <w:color w:val="000000"/>
          <w:sz w:val="24"/>
          <w:szCs w:val="24"/>
        </w:rPr>
        <w:t>73 (2017)).</w:t>
      </w:r>
    </w:p>
    <w:p w:rsidR="00664474" w:rsidRDefault="00664474" w:rsidP="00664474">
      <w:pPr>
        <w:spacing w:line="360" w:lineRule="auto"/>
        <w:ind w:left="1440"/>
        <w:contextualSpacing/>
        <w:rPr>
          <w:rFonts w:ascii="Times New Roman" w:hAnsi="Times New Roman" w:cs="Times New Roman"/>
          <w:color w:val="000000"/>
          <w:sz w:val="24"/>
          <w:szCs w:val="24"/>
        </w:rPr>
      </w:pPr>
      <w:r w:rsidRPr="00664474">
        <w:rPr>
          <w:rFonts w:ascii="Times New Roman" w:hAnsi="Times New Roman" w:cs="Times New Roman"/>
          <w:color w:val="000000"/>
          <w:sz w:val="24"/>
          <w:szCs w:val="24"/>
        </w:rPr>
        <w:t xml:space="preserve">It is well established that contract construction entails a three-step process, beginning with the trial court’s determination as to whether the language is clear and unambiguous. </w:t>
      </w:r>
      <w:r w:rsidRPr="00664474">
        <w:rPr>
          <w:rFonts w:ascii="Times New Roman" w:hAnsi="Times New Roman" w:cs="Times New Roman"/>
          <w:i/>
          <w:iCs/>
          <w:color w:val="000000"/>
          <w:sz w:val="24"/>
          <w:szCs w:val="24"/>
        </w:rPr>
        <w:t>If no construction is required because the language is clear, the court then enforces the contract according to its terms.</w:t>
      </w:r>
      <w:r w:rsidRPr="00664474">
        <w:rPr>
          <w:rFonts w:ascii="Times New Roman" w:hAnsi="Times New Roman" w:cs="Times New Roman"/>
          <w:color w:val="000000"/>
          <w:sz w:val="24"/>
          <w:szCs w:val="24"/>
        </w:rPr>
        <w:t xml:space="preserve"> But if there is ambiguity in some respect, the court then proceeds to the second step, which is to apply the rules of contract construction to resolve the ambiguity. Finally, in the third step, if the ambiguity remains after applying the rules of construction, the issue of what the ambiguous </w:t>
      </w:r>
      <w:r w:rsidRPr="00664474">
        <w:rPr>
          <w:rFonts w:ascii="Times New Roman" w:hAnsi="Times New Roman" w:cs="Times New Roman"/>
          <w:color w:val="000000"/>
          <w:sz w:val="24"/>
          <w:szCs w:val="24"/>
        </w:rPr>
        <w:lastRenderedPageBreak/>
        <w:t>language means and what the parties intended must be resolved by a jury. Importantly, as an initial matter, the existence or nonexistence of an ambiguity is a question of law for the court. Should the court determine that ambiguity exists, a jury question does not automatically arise, but rather the court must first attempt to resolve the ambiguity by applying the rules of construction in</w:t>
      </w:r>
      <w:r>
        <w:rPr>
          <w:rFonts w:ascii="Times New Roman" w:hAnsi="Times New Roman" w:cs="Times New Roman"/>
          <w:color w:val="000000"/>
          <w:sz w:val="24"/>
          <w:szCs w:val="24"/>
        </w:rPr>
        <w:t xml:space="preserve"> O.C.G.A. § 13-2-2.</w:t>
      </w:r>
    </w:p>
    <w:p w:rsidR="00664474" w:rsidRDefault="00664474" w:rsidP="00664474">
      <w:pPr>
        <w:spacing w:line="360" w:lineRule="auto"/>
        <w:contextualSpacing/>
        <w:rPr>
          <w:rFonts w:ascii="Times New Roman" w:hAnsi="Times New Roman" w:cs="Times New Roman"/>
          <w:color w:val="000000"/>
          <w:sz w:val="24"/>
          <w:szCs w:val="24"/>
        </w:rPr>
      </w:pP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(quoting </w:t>
      </w:r>
      <w:r>
        <w:rPr>
          <w:rFonts w:ascii="Times New Roman" w:hAnsi="Times New Roman" w:cs="Times New Roman"/>
          <w:i/>
          <w:color w:val="000000"/>
          <w:sz w:val="24"/>
          <w:szCs w:val="24"/>
        </w:rPr>
        <w:t>Y. C. Dev., Inc.</w:t>
      </w:r>
      <w:r>
        <w:rPr>
          <w:rFonts w:ascii="Times New Roman" w:hAnsi="Times New Roman" w:cs="Times New Roman"/>
          <w:color w:val="000000"/>
          <w:sz w:val="24"/>
          <w:szCs w:val="24"/>
        </w:rPr>
        <w:t>, 344 Ga. App. at 73) (emphasis in original).</w:t>
      </w:r>
    </w:p>
    <w:p w:rsidR="00664474" w:rsidRDefault="00664474" w:rsidP="00664474">
      <w:pPr>
        <w:spacing w:line="360" w:lineRule="auto"/>
        <w:contextualSpacing/>
        <w:rPr>
          <w:rFonts w:ascii="Times New Roman" w:hAnsi="Times New Roman" w:cs="Times New Roman"/>
          <w:color w:val="212121"/>
          <w:sz w:val="24"/>
          <w:szCs w:val="24"/>
        </w:rPr>
      </w:pPr>
      <w:r>
        <w:rPr>
          <w:rFonts w:ascii="Times New Roman" w:hAnsi="Times New Roman" w:cs="Times New Roman"/>
          <w:color w:val="000000"/>
          <w:sz w:val="24"/>
          <w:szCs w:val="24"/>
        </w:rPr>
        <w:tab/>
      </w:r>
      <w:r w:rsidRPr="00664474">
        <w:rPr>
          <w:rFonts w:ascii="Times New Roman" w:hAnsi="Times New Roman" w:cs="Times New Roman"/>
          <w:color w:val="212121"/>
          <w:sz w:val="24"/>
          <w:szCs w:val="24"/>
        </w:rPr>
        <w:t>“The existence or nonexistence of ambiguity in a contract is a question of law for the court.”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H&amp;E Innovation, LLC v. Shinhan Bank Am., Inc.</w:t>
      </w:r>
      <w:r>
        <w:rPr>
          <w:rFonts w:ascii="Times New Roman" w:hAnsi="Times New Roman" w:cs="Times New Roman"/>
          <w:color w:val="212121"/>
          <w:sz w:val="24"/>
          <w:szCs w:val="24"/>
        </w:rPr>
        <w:t>, 343 Ga. App. 881, 885 (2017</w:t>
      </w:r>
      <w:r w:rsidR="00663526">
        <w:rPr>
          <w:rFonts w:ascii="Times New Roman" w:hAnsi="Times New Roman" w:cs="Times New Roman"/>
          <w:color w:val="212121"/>
          <w:sz w:val="24"/>
          <w:szCs w:val="24"/>
        </w:rPr>
        <w:t xml:space="preserve">) (quoting </w:t>
      </w:r>
      <w:r w:rsidR="00663526">
        <w:rPr>
          <w:rFonts w:ascii="Times New Roman" w:hAnsi="Times New Roman" w:cs="Times New Roman"/>
          <w:i/>
          <w:color w:val="212121"/>
          <w:sz w:val="24"/>
          <w:szCs w:val="24"/>
        </w:rPr>
        <w:t>Safe Shield Workwear v. Shubee, Inc.</w:t>
      </w:r>
      <w:r w:rsidR="00663526">
        <w:rPr>
          <w:rFonts w:ascii="Times New Roman" w:hAnsi="Times New Roman" w:cs="Times New Roman"/>
          <w:color w:val="212121"/>
          <w:sz w:val="24"/>
          <w:szCs w:val="24"/>
        </w:rPr>
        <w:t>, 296 Ga. App. 498, 502) (2009)).</w:t>
      </w:r>
      <w:r w:rsidR="00083A2F">
        <w:rPr>
          <w:rFonts w:ascii="Times New Roman" w:hAnsi="Times New Roman" w:cs="Times New Roman"/>
          <w:color w:val="212121"/>
          <w:sz w:val="24"/>
          <w:szCs w:val="24"/>
        </w:rPr>
        <w:t xml:space="preserve">  Georgia courts “</w:t>
      </w:r>
      <w:r w:rsidR="00083A2F" w:rsidRPr="00083A2F">
        <w:rPr>
          <w:rFonts w:ascii="Times New Roman" w:hAnsi="Times New Roman" w:cs="Times New Roman"/>
          <w:color w:val="212121"/>
          <w:sz w:val="24"/>
          <w:szCs w:val="24"/>
        </w:rPr>
        <w:t>have defined ambiguity to mean duplicity, indistinctness, an uncertainty of meaning or expression used in a written instrument, and it also signifies being open to various interpretations.”</w:t>
      </w:r>
      <w:r w:rsidR="00083A2F">
        <w:rPr>
          <w:rFonts w:ascii="Times New Roman" w:hAnsi="Times New Roman" w:cs="Times New Roman"/>
          <w:color w:val="212121"/>
          <w:sz w:val="24"/>
          <w:szCs w:val="24"/>
        </w:rPr>
        <w:t xml:space="preserve">  </w:t>
      </w:r>
      <w:r w:rsidR="00083A2F">
        <w:rPr>
          <w:rFonts w:ascii="Times New Roman" w:hAnsi="Times New Roman" w:cs="Times New Roman"/>
          <w:i/>
          <w:color w:val="212121"/>
          <w:sz w:val="24"/>
          <w:szCs w:val="24"/>
        </w:rPr>
        <w:t>Healthy-IT, LLC v. Agrawal</w:t>
      </w:r>
      <w:r w:rsidR="00083A2F">
        <w:rPr>
          <w:rFonts w:ascii="Times New Roman" w:hAnsi="Times New Roman" w:cs="Times New Roman"/>
          <w:color w:val="212121"/>
          <w:sz w:val="24"/>
          <w:szCs w:val="24"/>
        </w:rPr>
        <w:t xml:space="preserve">, 343 Ga. App. 660, 667 (2017) (quoting </w:t>
      </w:r>
      <w:r w:rsidR="00083A2F">
        <w:rPr>
          <w:rFonts w:ascii="Times New Roman" w:hAnsi="Times New Roman" w:cs="Times New Roman"/>
          <w:i/>
          <w:color w:val="212121"/>
          <w:sz w:val="24"/>
          <w:szCs w:val="24"/>
        </w:rPr>
        <w:t>Shepherd v. Greer, Klosic &amp; Daugherty</w:t>
      </w:r>
      <w:r w:rsidR="00083A2F">
        <w:rPr>
          <w:rFonts w:ascii="Times New Roman" w:hAnsi="Times New Roman" w:cs="Times New Roman"/>
          <w:color w:val="212121"/>
          <w:sz w:val="24"/>
          <w:szCs w:val="24"/>
        </w:rPr>
        <w:t>, 325 Ga. App. 188, 190 (2013)).  “</w:t>
      </w:r>
      <w:r w:rsidR="00083A2F" w:rsidRPr="00083A2F">
        <w:rPr>
          <w:rFonts w:ascii="Times New Roman" w:hAnsi="Times New Roman" w:cs="Times New Roman"/>
          <w:color w:val="212121"/>
          <w:sz w:val="24"/>
          <w:szCs w:val="24"/>
        </w:rPr>
        <w:t xml:space="preserve">Or to put it more simply, </w:t>
      </w:r>
      <w:r w:rsidR="00083A2F">
        <w:rPr>
          <w:rFonts w:ascii="Times New Roman" w:hAnsi="Times New Roman" w:cs="Times New Roman"/>
          <w:color w:val="212121"/>
          <w:sz w:val="24"/>
          <w:szCs w:val="24"/>
        </w:rPr>
        <w:t>‘</w:t>
      </w:r>
      <w:r w:rsidR="00083A2F" w:rsidRPr="00083A2F">
        <w:rPr>
          <w:rFonts w:ascii="Times New Roman" w:hAnsi="Times New Roman" w:cs="Times New Roman"/>
          <w:color w:val="212121"/>
          <w:sz w:val="24"/>
          <w:szCs w:val="24"/>
        </w:rPr>
        <w:t>[a] word or phrase is ambiguous when its meaning is uncertain and it may be fairly understood in more ways than one.</w:t>
      </w:r>
      <w:r w:rsidR="00083A2F">
        <w:rPr>
          <w:rFonts w:ascii="Times New Roman" w:hAnsi="Times New Roman" w:cs="Times New Roman"/>
          <w:color w:val="212121"/>
          <w:sz w:val="24"/>
          <w:szCs w:val="24"/>
        </w:rPr>
        <w:t xml:space="preserve">’”  </w:t>
      </w:r>
      <w:r w:rsidR="00083A2F">
        <w:rPr>
          <w:rFonts w:ascii="Times New Roman" w:hAnsi="Times New Roman" w:cs="Times New Roman"/>
          <w:i/>
          <w:color w:val="212121"/>
          <w:sz w:val="24"/>
          <w:szCs w:val="24"/>
        </w:rPr>
        <w:t>Id.</w:t>
      </w:r>
      <w:r w:rsidR="00083A2F">
        <w:rPr>
          <w:rFonts w:ascii="Times New Roman" w:hAnsi="Times New Roman" w:cs="Times New Roman"/>
          <w:color w:val="212121"/>
          <w:sz w:val="24"/>
          <w:szCs w:val="24"/>
        </w:rPr>
        <w:t xml:space="preserve"> (quoting </w:t>
      </w:r>
      <w:r w:rsidR="00083A2F">
        <w:rPr>
          <w:rFonts w:ascii="Times New Roman" w:hAnsi="Times New Roman" w:cs="Times New Roman"/>
          <w:i/>
          <w:color w:val="212121"/>
          <w:sz w:val="24"/>
          <w:szCs w:val="24"/>
        </w:rPr>
        <w:t>Freund v. Warren</w:t>
      </w:r>
      <w:r w:rsidR="00083A2F">
        <w:rPr>
          <w:rFonts w:ascii="Times New Roman" w:hAnsi="Times New Roman" w:cs="Times New Roman"/>
          <w:color w:val="212121"/>
          <w:sz w:val="24"/>
          <w:szCs w:val="24"/>
        </w:rPr>
        <w:t>, 320 Ga. App. 765, 769 n.4 (2013)).</w:t>
      </w:r>
    </w:p>
    <w:p w:rsidR="00A43E94" w:rsidRDefault="00A43E94" w:rsidP="00664474">
      <w:pPr>
        <w:spacing w:line="36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ab/>
      </w:r>
      <w:r w:rsidR="00CA0D4B">
        <w:rPr>
          <w:rFonts w:ascii="Times New Roman" w:hAnsi="Times New Roman" w:cs="Times New Roman"/>
          <w:color w:val="212121"/>
          <w:sz w:val="24"/>
          <w:szCs w:val="24"/>
        </w:rPr>
        <w:t>Under the rules of contract construction, “</w:t>
      </w:r>
      <w:r w:rsidR="00CA0D4B" w:rsidRPr="00CA0D4B">
        <w:rPr>
          <w:rFonts w:ascii="Times New Roman" w:hAnsi="Times New Roman" w:cs="Times New Roman"/>
          <w:color w:val="212121"/>
          <w:sz w:val="24"/>
          <w:szCs w:val="24"/>
        </w:rPr>
        <w:t>words generally bear their usual and common signification; but technical words, words of art, or words used in a particular trade or business will be construed, generally, to be used in reference to this peculiar meaning. Ambiguities in terms used in written contracts, and their meanings as understood in the trade and by the contracting parties, may be explained by parol proof of this trade usage and custom. Parol evidence is admissible to explain the meaning of technical terms employed in written contracts.</w:t>
      </w:r>
      <w:r w:rsidR="00CA0D4B">
        <w:rPr>
          <w:rFonts w:ascii="Times New Roman" w:hAnsi="Times New Roman" w:cs="Times New Roman"/>
          <w:color w:val="212121"/>
          <w:sz w:val="24"/>
          <w:szCs w:val="24"/>
        </w:rPr>
        <w:t xml:space="preserve">”  </w:t>
      </w:r>
      <w:r w:rsidR="00CA0D4B">
        <w:rPr>
          <w:rFonts w:ascii="Times New Roman" w:hAnsi="Times New Roman" w:cs="Times New Roman"/>
          <w:i/>
          <w:color w:val="212121"/>
          <w:sz w:val="24"/>
          <w:szCs w:val="24"/>
        </w:rPr>
        <w:t>May v. S.E. GA Ford, Inc.</w:t>
      </w:r>
      <w:r w:rsidR="00CA0D4B">
        <w:rPr>
          <w:rFonts w:ascii="Times New Roman" w:hAnsi="Times New Roman" w:cs="Times New Roman"/>
          <w:color w:val="212121"/>
          <w:sz w:val="24"/>
          <w:szCs w:val="24"/>
        </w:rPr>
        <w:t xml:space="preserve">, 344 Ga. App. 459, 462 (2018) (quoting </w:t>
      </w:r>
      <w:r w:rsidR="00CA0D4B">
        <w:rPr>
          <w:rFonts w:ascii="Times New Roman" w:hAnsi="Times New Roman" w:cs="Times New Roman"/>
          <w:i/>
          <w:color w:val="212121"/>
          <w:sz w:val="24"/>
          <w:szCs w:val="24"/>
        </w:rPr>
        <w:t>Southland Dev. Corp. v. Battle</w:t>
      </w:r>
      <w:r w:rsidR="00CA0D4B">
        <w:rPr>
          <w:rFonts w:ascii="Times New Roman" w:hAnsi="Times New Roman" w:cs="Times New Roman"/>
          <w:color w:val="212121"/>
          <w:sz w:val="24"/>
          <w:szCs w:val="24"/>
        </w:rPr>
        <w:t>, 272 Ga. App. 211, 214 (2005)).</w:t>
      </w:r>
    </w:p>
    <w:p w:rsidR="00B20D75" w:rsidRDefault="00B20D75" w:rsidP="007F7D3B">
      <w:pPr>
        <w:spacing w:line="360" w:lineRule="auto"/>
        <w:ind w:left="1440" w:hanging="720"/>
        <w:contextualSpacing/>
        <w:rPr>
          <w:rFonts w:ascii="Times New Roman" w:hAnsi="Times New Roman" w:cs="Times New Roman"/>
          <w:color w:val="212121"/>
          <w:sz w:val="24"/>
          <w:szCs w:val="24"/>
        </w:rPr>
      </w:pPr>
      <w:r>
        <w:rPr>
          <w:rFonts w:ascii="Times New Roman" w:hAnsi="Times New Roman" w:cs="Times New Roman"/>
          <w:b/>
          <w:color w:val="212121"/>
          <w:sz w:val="24"/>
          <w:szCs w:val="24"/>
        </w:rPr>
        <w:t>B.</w:t>
      </w:r>
      <w:r>
        <w:rPr>
          <w:rFonts w:ascii="Times New Roman" w:hAnsi="Times New Roman" w:cs="Times New Roman"/>
          <w:b/>
          <w:color w:val="212121"/>
          <w:sz w:val="24"/>
          <w:szCs w:val="24"/>
        </w:rPr>
        <w:tab/>
        <w:t>Statutes of Limitations Can Be Changed Contractually</w:t>
      </w:r>
      <w:r w:rsidR="007F7D3B">
        <w:rPr>
          <w:rFonts w:ascii="Times New Roman" w:hAnsi="Times New Roman" w:cs="Times New Roman"/>
          <w:b/>
          <w:color w:val="212121"/>
          <w:sz w:val="24"/>
          <w:szCs w:val="24"/>
        </w:rPr>
        <w:t>, But The Limits Apply to Claims Arising From the Contract</w:t>
      </w:r>
      <w:r>
        <w:rPr>
          <w:rFonts w:ascii="Times New Roman" w:hAnsi="Times New Roman" w:cs="Times New Roman"/>
          <w:b/>
          <w:color w:val="212121"/>
          <w:sz w:val="24"/>
          <w:szCs w:val="24"/>
        </w:rPr>
        <w:t>.</w:t>
      </w:r>
    </w:p>
    <w:p w:rsidR="00B20D75" w:rsidRDefault="00B20D75" w:rsidP="00664474">
      <w:pPr>
        <w:spacing w:line="36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ab/>
      </w:r>
      <w:r w:rsidR="00B31CA7">
        <w:rPr>
          <w:rFonts w:ascii="Times New Roman" w:hAnsi="Times New Roman" w:cs="Times New Roman"/>
          <w:color w:val="212121"/>
          <w:sz w:val="24"/>
          <w:szCs w:val="24"/>
        </w:rPr>
        <w:t xml:space="preserve">In </w:t>
      </w:r>
      <w:r w:rsidR="00B31CA7">
        <w:rPr>
          <w:rFonts w:ascii="Times New Roman" w:hAnsi="Times New Roman" w:cs="Times New Roman"/>
          <w:i/>
          <w:color w:val="212121"/>
          <w:sz w:val="24"/>
          <w:szCs w:val="24"/>
        </w:rPr>
        <w:t>Langley v. MP Spring Lake, LLC</w:t>
      </w:r>
      <w:r w:rsidR="00B31CA7">
        <w:rPr>
          <w:rFonts w:ascii="Times New Roman" w:hAnsi="Times New Roman" w:cs="Times New Roman"/>
          <w:color w:val="212121"/>
          <w:sz w:val="24"/>
          <w:szCs w:val="24"/>
        </w:rPr>
        <w:t xml:space="preserve">, 345 Ga. App. 739 (2018), Langley filed suit against Spring Lake Apartments on March 3, 2016, alleging that on March 3, 2014, while </w:t>
      </w:r>
      <w:r w:rsidR="00B31CA7">
        <w:rPr>
          <w:rFonts w:ascii="Times New Roman" w:hAnsi="Times New Roman" w:cs="Times New Roman"/>
          <w:color w:val="212121"/>
          <w:sz w:val="24"/>
          <w:szCs w:val="24"/>
        </w:rPr>
        <w:lastRenderedPageBreak/>
        <w:t xml:space="preserve">she was a tenant, she </w:t>
      </w:r>
      <w:r w:rsidR="00B31CA7" w:rsidRPr="00B31CA7">
        <w:rPr>
          <w:rFonts w:ascii="Times New Roman" w:hAnsi="Times New Roman" w:cs="Times New Roman"/>
          <w:color w:val="000000"/>
          <w:sz w:val="24"/>
          <w:szCs w:val="24"/>
        </w:rPr>
        <w:t>fell in a common area of the complex when her foot got caught and slid on a crumbling portion of curb. She later made claims of negligence and negligence per se due to Spring Lake’s alleged failure to repair the curb despite being aware of its disrepair</w:t>
      </w:r>
      <w:r w:rsidR="00B31CA7">
        <w:rPr>
          <w:rFonts w:ascii="Times New Roman" w:hAnsi="Times New Roman" w:cs="Times New Roman"/>
          <w:color w:val="000000"/>
          <w:sz w:val="24"/>
          <w:szCs w:val="24"/>
        </w:rPr>
        <w:t xml:space="preserve">.  </w:t>
      </w:r>
      <w:r w:rsidR="00B31CA7" w:rsidRPr="00B31CA7">
        <w:rPr>
          <w:rFonts w:ascii="Times New Roman" w:hAnsi="Times New Roman" w:cs="Times New Roman"/>
          <w:color w:val="000000"/>
          <w:sz w:val="24"/>
          <w:szCs w:val="24"/>
        </w:rPr>
        <w:t>Spring Lake asserted, as one of its defenses, that Langley’s claims were barred by a contractual limitation period contained within her lease. Spring Lake then moved for summary judgment on this basis,</w:t>
      </w:r>
      <w:bookmarkStart w:id="15" w:name="co_footnoteReference_B00022044438698_ID0"/>
      <w:bookmarkEnd w:id="15"/>
      <w:r w:rsidR="00B31CA7" w:rsidRPr="00B31CA7">
        <w:rPr>
          <w:rFonts w:ascii="Times New Roman" w:hAnsi="Times New Roman" w:cs="Times New Roman"/>
          <w:color w:val="000000"/>
          <w:sz w:val="24"/>
          <w:szCs w:val="24"/>
        </w:rPr>
        <w:t xml:space="preserve"> arguing that, because Langley’s lease contained a one-year limitation period for legal actions and she filed her complaint two years after the injury occurred, her claim was time-barred.</w:t>
      </w:r>
      <w:r w:rsidR="00B31CA7">
        <w:rPr>
          <w:rFonts w:ascii="Times New Roman" w:hAnsi="Times New Roman" w:cs="Times New Roman"/>
          <w:color w:val="000000"/>
          <w:sz w:val="24"/>
          <w:szCs w:val="24"/>
        </w:rPr>
        <w:t xml:space="preserve">  </w:t>
      </w:r>
      <w:r w:rsidR="00B31CA7">
        <w:rPr>
          <w:rFonts w:ascii="Times New Roman" w:hAnsi="Times New Roman" w:cs="Times New Roman"/>
          <w:i/>
          <w:color w:val="000000"/>
          <w:sz w:val="24"/>
          <w:szCs w:val="24"/>
        </w:rPr>
        <w:t>Id.</w:t>
      </w:r>
      <w:r w:rsidR="00B31CA7">
        <w:rPr>
          <w:rFonts w:ascii="Times New Roman" w:hAnsi="Times New Roman" w:cs="Times New Roman"/>
          <w:color w:val="000000"/>
          <w:sz w:val="24"/>
          <w:szCs w:val="24"/>
        </w:rPr>
        <w:t xml:space="preserve">  The lease agreement stated: “</w:t>
      </w:r>
      <w:r w:rsidR="00B31CA7" w:rsidRPr="00B31CA7">
        <w:rPr>
          <w:rFonts w:ascii="Times New Roman" w:hAnsi="Times New Roman" w:cs="Times New Roman"/>
          <w:color w:val="000000"/>
          <w:sz w:val="24"/>
          <w:szCs w:val="24"/>
        </w:rPr>
        <w:t xml:space="preserve">To the extent allowed by law, Resident also agrees and understands that </w:t>
      </w:r>
      <w:r w:rsidR="00B31CA7" w:rsidRPr="00D17DC8">
        <w:rPr>
          <w:rFonts w:ascii="Times New Roman" w:hAnsi="Times New Roman" w:cs="Times New Roman"/>
          <w:color w:val="000000"/>
          <w:sz w:val="24"/>
          <w:szCs w:val="24"/>
          <w:u w:val="single"/>
        </w:rPr>
        <w:t>any legal action</w:t>
      </w:r>
      <w:r w:rsidR="00B31CA7" w:rsidRPr="00B31CA7">
        <w:rPr>
          <w:rFonts w:ascii="Times New Roman" w:hAnsi="Times New Roman" w:cs="Times New Roman"/>
          <w:color w:val="000000"/>
          <w:sz w:val="24"/>
          <w:szCs w:val="24"/>
        </w:rPr>
        <w:t xml:space="preserve"> against Management or Owner must be instituted within one year of the date any claim or cause of action arises and that any action filed after one year from such date shall be time barred as a matter of law.</w:t>
      </w:r>
      <w:r w:rsidR="00B31CA7">
        <w:rPr>
          <w:rFonts w:ascii="Times New Roman" w:hAnsi="Times New Roman" w:cs="Times New Roman"/>
          <w:color w:val="000000"/>
          <w:sz w:val="24"/>
          <w:szCs w:val="24"/>
        </w:rPr>
        <w:t xml:space="preserve">”  </w:t>
      </w:r>
      <w:r w:rsidR="00B31CA7">
        <w:rPr>
          <w:rFonts w:ascii="Times New Roman" w:hAnsi="Times New Roman" w:cs="Times New Roman"/>
          <w:i/>
          <w:color w:val="000000"/>
          <w:sz w:val="24"/>
          <w:szCs w:val="24"/>
        </w:rPr>
        <w:t>Id.</w:t>
      </w:r>
      <w:r w:rsidR="00B31CA7">
        <w:rPr>
          <w:rFonts w:ascii="Times New Roman" w:hAnsi="Times New Roman" w:cs="Times New Roman"/>
          <w:color w:val="000000"/>
          <w:sz w:val="24"/>
          <w:szCs w:val="24"/>
        </w:rPr>
        <w:t xml:space="preserve"> at 740</w:t>
      </w:r>
      <w:r w:rsidR="00D17DC8">
        <w:rPr>
          <w:rFonts w:ascii="Times New Roman" w:hAnsi="Times New Roman" w:cs="Times New Roman"/>
          <w:color w:val="000000"/>
          <w:sz w:val="24"/>
          <w:szCs w:val="24"/>
        </w:rPr>
        <w:t xml:space="preserve"> (emphasis added)</w:t>
      </w:r>
      <w:r w:rsidR="00B31CA7">
        <w:rPr>
          <w:rFonts w:ascii="Times New Roman" w:hAnsi="Times New Roman" w:cs="Times New Roman"/>
          <w:color w:val="000000"/>
          <w:sz w:val="24"/>
          <w:szCs w:val="24"/>
        </w:rPr>
        <w:t xml:space="preserve">.  The trial court granted Spring Lake’s motion for summary judgment, finding that Langley’s </w:t>
      </w:r>
      <w:r w:rsidR="00B31CA7" w:rsidRPr="00B31CA7">
        <w:rPr>
          <w:rFonts w:ascii="Times New Roman" w:hAnsi="Times New Roman" w:cs="Times New Roman"/>
          <w:color w:val="000000"/>
          <w:sz w:val="24"/>
          <w:szCs w:val="24"/>
        </w:rPr>
        <w:t>personal-injury claims were time-barred because she filed suit after the expiration of the one-year contractual limitation period.</w:t>
      </w:r>
      <w:r w:rsidR="00B31CA7">
        <w:rPr>
          <w:rFonts w:ascii="Times New Roman" w:hAnsi="Times New Roman" w:cs="Times New Roman"/>
          <w:color w:val="000000"/>
          <w:sz w:val="24"/>
          <w:szCs w:val="24"/>
        </w:rPr>
        <w:t xml:space="preserve">  </w:t>
      </w:r>
      <w:r w:rsidR="00B31CA7">
        <w:rPr>
          <w:rFonts w:ascii="Times New Roman" w:hAnsi="Times New Roman" w:cs="Times New Roman"/>
          <w:i/>
          <w:color w:val="000000"/>
          <w:sz w:val="24"/>
          <w:szCs w:val="24"/>
        </w:rPr>
        <w:t>Id.</w:t>
      </w:r>
    </w:p>
    <w:p w:rsidR="00B31CA7" w:rsidRDefault="00B31CA7" w:rsidP="00664474">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 appeal, Langley argued that a contractual limitation period should not apply to claims that did not arise out of the lease agreement.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The Georgia Court of Appeals held that the limitation provision in the lease was unambiguous and that the one-year contractual limitation period was applicable to </w:t>
      </w:r>
      <w:r>
        <w:rPr>
          <w:rFonts w:ascii="Times New Roman" w:hAnsi="Times New Roman" w:cs="Times New Roman"/>
          <w:color w:val="000000"/>
          <w:sz w:val="24"/>
          <w:szCs w:val="24"/>
          <w:u w:val="single"/>
        </w:rPr>
        <w:t>any</w:t>
      </w:r>
      <w:r>
        <w:rPr>
          <w:rFonts w:ascii="Times New Roman" w:hAnsi="Times New Roman" w:cs="Times New Roman"/>
          <w:color w:val="000000"/>
          <w:sz w:val="24"/>
          <w:szCs w:val="24"/>
        </w:rPr>
        <w:t xml:space="preserve"> action, “</w:t>
      </w:r>
      <w:r w:rsidRPr="00B31CA7">
        <w:rPr>
          <w:rFonts w:ascii="Times New Roman" w:hAnsi="Times New Roman" w:cs="Times New Roman"/>
          <w:color w:val="000000"/>
          <w:sz w:val="24"/>
          <w:szCs w:val="24"/>
        </w:rPr>
        <w:t>not just those which arose from breaches of the lease. Accordingly, although personal-injury claims are ordinarily subject to a two-year statute of limitation,</w:t>
      </w:r>
      <w:bookmarkStart w:id="16" w:name="co_footnoteReference_B00122044438698_ID0"/>
      <w:bookmarkEnd w:id="16"/>
      <w:r w:rsidRPr="00B31CA7">
        <w:rPr>
          <w:rFonts w:ascii="Times New Roman" w:hAnsi="Times New Roman" w:cs="Times New Roman"/>
          <w:color w:val="000000"/>
          <w:sz w:val="24"/>
          <w:szCs w:val="24"/>
        </w:rPr>
        <w:t xml:space="preserve"> Langley contractually agreed to bring </w:t>
      </w:r>
      <w:r w:rsidRPr="00B31CA7">
        <w:rPr>
          <w:rFonts w:ascii="Times New Roman" w:hAnsi="Times New Roman" w:cs="Times New Roman"/>
          <w:iCs/>
          <w:color w:val="000000"/>
          <w:sz w:val="24"/>
          <w:szCs w:val="24"/>
          <w:u w:val="single"/>
        </w:rPr>
        <w:t>any</w:t>
      </w:r>
      <w:r w:rsidRPr="00B31CA7">
        <w:rPr>
          <w:rFonts w:ascii="Times New Roman" w:hAnsi="Times New Roman" w:cs="Times New Roman"/>
          <w:color w:val="000000"/>
          <w:sz w:val="24"/>
          <w:szCs w:val="24"/>
        </w:rPr>
        <w:t xml:space="preserve"> </w:t>
      </w:r>
      <w:bookmarkStart w:id="17" w:name="co_pp_sp_360_742_1"/>
      <w:bookmarkEnd w:id="17"/>
      <w:r w:rsidRPr="00B31CA7">
        <w:rPr>
          <w:rFonts w:ascii="Times New Roman" w:hAnsi="Times New Roman" w:cs="Times New Roman"/>
          <w:color w:val="000000"/>
          <w:sz w:val="24"/>
          <w:szCs w:val="24"/>
        </w:rPr>
        <w:t xml:space="preserve"> action against Spring Lake—including, but not limited to, personal-injury actions—within </w:t>
      </w:r>
      <w:r w:rsidRPr="00B31CA7">
        <w:rPr>
          <w:rFonts w:ascii="Times New Roman" w:hAnsi="Times New Roman" w:cs="Times New Roman"/>
          <w:iCs/>
          <w:color w:val="000000"/>
          <w:sz w:val="24"/>
          <w:szCs w:val="24"/>
          <w:u w:val="single"/>
        </w:rPr>
        <w:t>one</w:t>
      </w:r>
      <w:r w:rsidRPr="00B31CA7">
        <w:rPr>
          <w:rFonts w:ascii="Times New Roman" w:hAnsi="Times New Roman" w:cs="Times New Roman"/>
          <w:color w:val="000000"/>
          <w:sz w:val="24"/>
          <w:szCs w:val="24"/>
        </w:rPr>
        <w:t xml:space="preserve"> year. And Langley failed to do this when she filed suit on March 3, 2016, seeking to recover damages for an injury that occurred on March 3, 2014.</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741-42.</w:t>
      </w:r>
      <w:r w:rsidR="00623F79">
        <w:rPr>
          <w:rFonts w:ascii="Times New Roman" w:hAnsi="Times New Roman" w:cs="Times New Roman"/>
          <w:color w:val="000000"/>
          <w:sz w:val="24"/>
          <w:szCs w:val="24"/>
        </w:rPr>
        <w:t xml:space="preserve">  The court rejected “</w:t>
      </w:r>
      <w:r w:rsidR="00623F79" w:rsidRPr="00623F79">
        <w:rPr>
          <w:rFonts w:ascii="Times New Roman" w:hAnsi="Times New Roman" w:cs="Times New Roman"/>
          <w:color w:val="000000"/>
          <w:sz w:val="24"/>
          <w:szCs w:val="24"/>
        </w:rPr>
        <w:t>Langley’s assertion that the provision at issue should be unenforceable as a matter of law, when contractual-limitation-period clauses are enforceable in Georgia</w:t>
      </w:r>
      <w:r w:rsidR="00623F79">
        <w:rPr>
          <w:rFonts w:ascii="Times New Roman" w:hAnsi="Times New Roman" w:cs="Times New Roman"/>
          <w:color w:val="000000"/>
          <w:sz w:val="24"/>
          <w:szCs w:val="24"/>
        </w:rPr>
        <w:t xml:space="preserve">.”  </w:t>
      </w:r>
      <w:r w:rsidR="00623F79">
        <w:rPr>
          <w:rFonts w:ascii="Times New Roman" w:hAnsi="Times New Roman" w:cs="Times New Roman"/>
          <w:i/>
          <w:color w:val="000000"/>
          <w:sz w:val="24"/>
          <w:szCs w:val="24"/>
        </w:rPr>
        <w:t>Id.</w:t>
      </w:r>
      <w:r w:rsidR="00623F79">
        <w:rPr>
          <w:rFonts w:ascii="Times New Roman" w:hAnsi="Times New Roman" w:cs="Times New Roman"/>
          <w:color w:val="000000"/>
          <w:sz w:val="24"/>
          <w:szCs w:val="24"/>
        </w:rPr>
        <w:t xml:space="preserve"> at 742 (citing </w:t>
      </w:r>
      <w:r w:rsidR="00623F79">
        <w:rPr>
          <w:rFonts w:ascii="Times New Roman" w:hAnsi="Times New Roman" w:cs="Times New Roman"/>
          <w:i/>
          <w:color w:val="000000"/>
          <w:sz w:val="24"/>
          <w:szCs w:val="24"/>
        </w:rPr>
        <w:t>Rain &amp; Hail Ins. Servs., Inc. v. Vickery</w:t>
      </w:r>
      <w:r w:rsidR="00623F79">
        <w:rPr>
          <w:rFonts w:ascii="Times New Roman" w:hAnsi="Times New Roman" w:cs="Times New Roman"/>
          <w:color w:val="000000"/>
          <w:sz w:val="24"/>
          <w:szCs w:val="24"/>
        </w:rPr>
        <w:t>, 274 Ga. App. 424, 425 (2005)) (additional citations omitted).  Here, although “</w:t>
      </w:r>
      <w:r w:rsidR="00623F79" w:rsidRPr="00623F79">
        <w:rPr>
          <w:rFonts w:ascii="Times New Roman" w:hAnsi="Times New Roman" w:cs="Times New Roman"/>
          <w:color w:val="000000"/>
          <w:sz w:val="24"/>
          <w:szCs w:val="24"/>
        </w:rPr>
        <w:t xml:space="preserve">the language of the limitation-on-actions provision is broad and does not explicitly specify that it </w:t>
      </w:r>
      <w:r w:rsidR="00623F79" w:rsidRPr="00623F79">
        <w:rPr>
          <w:rFonts w:ascii="Times New Roman" w:hAnsi="Times New Roman" w:cs="Times New Roman"/>
          <w:color w:val="000000"/>
          <w:sz w:val="24"/>
          <w:szCs w:val="24"/>
        </w:rPr>
        <w:lastRenderedPageBreak/>
        <w:t>includes personal-injury actions,</w:t>
      </w:r>
      <w:bookmarkStart w:id="18" w:name="co_footnoteReference_B00152044438698_ID0"/>
      <w:bookmarkEnd w:id="18"/>
      <w:r w:rsidR="00623F79" w:rsidRPr="00623F79">
        <w:rPr>
          <w:rFonts w:ascii="Times New Roman" w:hAnsi="Times New Roman" w:cs="Times New Roman"/>
          <w:color w:val="000000"/>
          <w:sz w:val="24"/>
          <w:szCs w:val="24"/>
        </w:rPr>
        <w:t xml:space="preserve"> it nevertheless encompasses </w:t>
      </w:r>
      <w:r w:rsidR="00623F79" w:rsidRPr="00623F79">
        <w:rPr>
          <w:rFonts w:ascii="Times New Roman" w:hAnsi="Times New Roman" w:cs="Times New Roman"/>
          <w:iCs/>
          <w:color w:val="000000"/>
          <w:sz w:val="24"/>
          <w:szCs w:val="24"/>
          <w:u w:val="single"/>
        </w:rPr>
        <w:t xml:space="preserve">any </w:t>
      </w:r>
      <w:bookmarkStart w:id="19" w:name="co_pp_sp_711_445_1"/>
      <w:bookmarkEnd w:id="19"/>
      <w:r w:rsidR="00623F79" w:rsidRPr="00623F79">
        <w:rPr>
          <w:rFonts w:ascii="Times New Roman" w:hAnsi="Times New Roman" w:cs="Times New Roman"/>
          <w:iCs/>
          <w:color w:val="000000"/>
          <w:sz w:val="24"/>
          <w:szCs w:val="24"/>
          <w:u w:val="single"/>
        </w:rPr>
        <w:t>legal action</w:t>
      </w:r>
      <w:r w:rsidR="00623F79" w:rsidRPr="00623F79">
        <w:rPr>
          <w:rFonts w:ascii="Times New Roman" w:hAnsi="Times New Roman" w:cs="Times New Roman"/>
          <w:color w:val="000000"/>
          <w:sz w:val="24"/>
          <w:szCs w:val="24"/>
        </w:rPr>
        <w:t xml:space="preserve"> that Langley might have instituted against the owner or management of her apartment complex. Thus, Langley’s repeated assertions that her personal-injury claim is </w:t>
      </w:r>
      <w:r w:rsidR="00623F79">
        <w:rPr>
          <w:rFonts w:ascii="Times New Roman" w:hAnsi="Times New Roman" w:cs="Times New Roman"/>
          <w:color w:val="000000"/>
          <w:sz w:val="24"/>
          <w:szCs w:val="24"/>
        </w:rPr>
        <w:t>‘</w:t>
      </w:r>
      <w:r w:rsidR="00623F79" w:rsidRPr="00623F79">
        <w:rPr>
          <w:rFonts w:ascii="Times New Roman" w:hAnsi="Times New Roman" w:cs="Times New Roman"/>
          <w:color w:val="000000"/>
          <w:sz w:val="24"/>
          <w:szCs w:val="24"/>
        </w:rPr>
        <w:t>unrelated</w:t>
      </w:r>
      <w:r w:rsidR="00623F79">
        <w:rPr>
          <w:rFonts w:ascii="Times New Roman" w:hAnsi="Times New Roman" w:cs="Times New Roman"/>
          <w:color w:val="000000"/>
          <w:sz w:val="24"/>
          <w:szCs w:val="24"/>
        </w:rPr>
        <w:t>’</w:t>
      </w:r>
      <w:r w:rsidR="00623F79" w:rsidRPr="00623F79">
        <w:rPr>
          <w:rFonts w:ascii="Times New Roman" w:hAnsi="Times New Roman" w:cs="Times New Roman"/>
          <w:color w:val="000000"/>
          <w:sz w:val="24"/>
          <w:szCs w:val="24"/>
        </w:rPr>
        <w:t xml:space="preserve"> to the contract are of no consequence because her personal-injury claim, </w:t>
      </w:r>
      <w:r w:rsidR="00623F79" w:rsidRPr="00623F79">
        <w:rPr>
          <w:rFonts w:ascii="Times New Roman" w:hAnsi="Times New Roman" w:cs="Times New Roman"/>
          <w:iCs/>
          <w:color w:val="000000"/>
          <w:sz w:val="24"/>
          <w:szCs w:val="24"/>
          <w:u w:val="single"/>
        </w:rPr>
        <w:t>and any other claim</w:t>
      </w:r>
      <w:r w:rsidR="00623F79" w:rsidRPr="00623F79">
        <w:rPr>
          <w:rFonts w:ascii="Times New Roman" w:hAnsi="Times New Roman" w:cs="Times New Roman"/>
          <w:color w:val="000000"/>
          <w:sz w:val="24"/>
          <w:szCs w:val="24"/>
        </w:rPr>
        <w:t xml:space="preserve"> that she might have brought against Spring Lake, were encompassed by this broad contractual limitation period.</w:t>
      </w:r>
      <w:r w:rsidR="00623F79">
        <w:rPr>
          <w:rFonts w:ascii="Times New Roman" w:hAnsi="Times New Roman" w:cs="Times New Roman"/>
          <w:color w:val="000000"/>
          <w:sz w:val="24"/>
          <w:szCs w:val="24"/>
        </w:rPr>
        <w:t xml:space="preserve">”  </w:t>
      </w:r>
      <w:r w:rsidR="00623F79">
        <w:rPr>
          <w:rFonts w:ascii="Times New Roman" w:hAnsi="Times New Roman" w:cs="Times New Roman"/>
          <w:i/>
          <w:color w:val="000000"/>
          <w:sz w:val="24"/>
          <w:szCs w:val="24"/>
        </w:rPr>
        <w:t>Id.</w:t>
      </w:r>
      <w:r w:rsidR="00623F79">
        <w:rPr>
          <w:rFonts w:ascii="Times New Roman" w:hAnsi="Times New Roman" w:cs="Times New Roman"/>
          <w:color w:val="000000"/>
          <w:sz w:val="24"/>
          <w:szCs w:val="24"/>
        </w:rPr>
        <w:t xml:space="preserve"> at 743.</w:t>
      </w:r>
    </w:p>
    <w:p w:rsidR="00D02BA8" w:rsidRDefault="00D02BA8" w:rsidP="00664474">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court also rejected Langley’s argument that the contractual limitations provision should be prohibited by public policy because the provision at issue is not listed in O.C.G.A. § 13-8-2(a), </w:t>
      </w:r>
      <w:r w:rsidRPr="00D02BA8">
        <w:rPr>
          <w:rFonts w:ascii="Times New Roman" w:hAnsi="Times New Roman" w:cs="Times New Roman"/>
          <w:color w:val="000000"/>
          <w:sz w:val="24"/>
          <w:szCs w:val="24"/>
        </w:rPr>
        <w:t>“which includes a non-exclusive list of contracts that our General Assembly has deemed contrary to public policy.</w:t>
      </w:r>
      <w:bookmarkStart w:id="20" w:name="co_footnoteReference_B00212044438698_ID0"/>
      <w:bookmarkEnd w:id="20"/>
      <w:r w:rsidRPr="00D02BA8">
        <w:rPr>
          <w:rFonts w:ascii="Times New Roman" w:hAnsi="Times New Roman" w:cs="Times New Roman"/>
          <w:color w:val="000000"/>
          <w:sz w:val="24"/>
          <w:szCs w:val="24"/>
        </w:rPr>
        <w:t xml:space="preserve"> This, combined with our Supreme Court’s explicit holding that parties to a contract have the </w:t>
      </w:r>
      <w:bookmarkStart w:id="21" w:name="co_pp_sp_711_446_1"/>
      <w:bookmarkEnd w:id="21"/>
      <w:r w:rsidRPr="00D02BA8">
        <w:rPr>
          <w:rFonts w:ascii="Times New Roman" w:hAnsi="Times New Roman" w:cs="Times New Roman"/>
          <w:color w:val="000000"/>
          <w:sz w:val="24"/>
          <w:szCs w:val="24"/>
        </w:rPr>
        <w:t xml:space="preserve">power to ‘agree among themselves upon a period of time which would amount to a statute of limitations, either greater </w:t>
      </w:r>
      <w:r w:rsidRPr="00D02BA8">
        <w:rPr>
          <w:rFonts w:ascii="Times New Roman" w:hAnsi="Times New Roman" w:cs="Times New Roman"/>
          <w:i/>
          <w:iCs/>
          <w:color w:val="000000"/>
          <w:sz w:val="24"/>
          <w:szCs w:val="24"/>
        </w:rPr>
        <w:t>or less than</w:t>
      </w:r>
      <w:r w:rsidRPr="00D02BA8">
        <w:rPr>
          <w:rFonts w:ascii="Times New Roman" w:hAnsi="Times New Roman" w:cs="Times New Roman"/>
          <w:color w:val="000000"/>
          <w:sz w:val="24"/>
          <w:szCs w:val="24"/>
        </w:rPr>
        <w:t xml:space="preserve"> the period fixed by the law,</w:t>
      </w:r>
      <w:bookmarkStart w:id="22" w:name="co_footnoteReference_B00222044438698_ID0"/>
      <w:bookmarkEnd w:id="22"/>
      <w:r w:rsidRPr="00D02BA8">
        <w:rPr>
          <w:rFonts w:ascii="Times New Roman" w:hAnsi="Times New Roman" w:cs="Times New Roman"/>
          <w:color w:val="000000"/>
          <w:sz w:val="24"/>
          <w:szCs w:val="24"/>
        </w:rPr>
        <w:t>’ leads us to conclude that the unambiguous provision at issue is enforceable.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744.</w:t>
      </w:r>
      <w:r w:rsidR="00203678">
        <w:rPr>
          <w:rFonts w:ascii="Times New Roman" w:hAnsi="Times New Roman" w:cs="Times New Roman"/>
          <w:color w:val="000000"/>
          <w:sz w:val="24"/>
          <w:szCs w:val="24"/>
        </w:rPr>
        <w:t xml:space="preserve">  </w:t>
      </w:r>
      <w:r w:rsidR="00203678">
        <w:rPr>
          <w:rFonts w:ascii="Times New Roman" w:hAnsi="Times New Roman" w:cs="Times New Roman"/>
          <w:i/>
          <w:color w:val="000000"/>
          <w:sz w:val="24"/>
          <w:szCs w:val="24"/>
        </w:rPr>
        <w:t>See also Wolf Creek Landfill, LLC v. Twiggs County</w:t>
      </w:r>
      <w:r w:rsidR="00203678">
        <w:rPr>
          <w:rFonts w:ascii="Times New Roman" w:hAnsi="Times New Roman" w:cs="Times New Roman"/>
          <w:color w:val="000000"/>
          <w:sz w:val="24"/>
          <w:szCs w:val="24"/>
        </w:rPr>
        <w:t>, 337 Ga. App. 211, 214 (2016) (“Although we typically are called upon to interpret a shortening (rather than an extension) of the statute of limitation, we have stated that ‘[c]ontractual periods of limitation are generally enforceable under Georgia law.’”).</w:t>
      </w:r>
    </w:p>
    <w:p w:rsidR="007F7D3B" w:rsidRDefault="007F7D3B" w:rsidP="00664474">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Georgia Supreme Court granted Langley’s petition for a writ of certiorari and reversed.  </w:t>
      </w:r>
      <w:r>
        <w:rPr>
          <w:rFonts w:ascii="Times New Roman" w:hAnsi="Times New Roman" w:cs="Times New Roman"/>
          <w:i/>
          <w:color w:val="000000"/>
          <w:sz w:val="24"/>
          <w:szCs w:val="24"/>
        </w:rPr>
        <w:t>See Langley v. MP Spring Lake, LLC</w:t>
      </w:r>
      <w:r>
        <w:rPr>
          <w:rFonts w:ascii="Times New Roman" w:hAnsi="Times New Roman" w:cs="Times New Roman"/>
          <w:color w:val="000000"/>
          <w:sz w:val="24"/>
          <w:szCs w:val="24"/>
        </w:rPr>
        <w:t>, 307 Ga. 321 (2019).</w:t>
      </w:r>
      <w:r w:rsidR="00C90FE2">
        <w:rPr>
          <w:rFonts w:ascii="Times New Roman" w:hAnsi="Times New Roman" w:cs="Times New Roman"/>
          <w:color w:val="000000"/>
          <w:sz w:val="24"/>
          <w:szCs w:val="24"/>
        </w:rPr>
        <w:t xml:space="preserve">  </w:t>
      </w:r>
      <w:r w:rsidR="00873E23">
        <w:rPr>
          <w:rFonts w:ascii="Times New Roman" w:hAnsi="Times New Roman" w:cs="Times New Roman"/>
          <w:color w:val="000000"/>
          <w:sz w:val="24"/>
          <w:szCs w:val="24"/>
        </w:rPr>
        <w:t>According to the Supreme Court:</w:t>
      </w:r>
    </w:p>
    <w:p w:rsidR="00873E23" w:rsidRDefault="00873E23" w:rsidP="00873E23">
      <w:pPr>
        <w:spacing w:line="360" w:lineRule="auto"/>
        <w:ind w:left="1440"/>
        <w:contextualSpacing/>
        <w:rPr>
          <w:rFonts w:ascii="Times New Roman" w:hAnsi="Times New Roman" w:cs="Times New Roman"/>
          <w:color w:val="000000"/>
          <w:sz w:val="24"/>
          <w:szCs w:val="24"/>
        </w:rPr>
      </w:pPr>
      <w:r w:rsidRPr="00873E23">
        <w:rPr>
          <w:rFonts w:ascii="Times New Roman" w:hAnsi="Times New Roman" w:cs="Times New Roman"/>
          <w:color w:val="000000"/>
          <w:sz w:val="24"/>
          <w:szCs w:val="24"/>
        </w:rPr>
        <w:t>By focusing narrowly on the language of the Limitation Provision without regard to the full context of the lease agreement of which it was a part, the Court of Appeals’ analysis failed to address the more fundamental problem at issue. Specifically, the question here is not whether contractual time-limitation provisions are generally enforceable in this State; that question is clearly answered in the affirmative as to claims for breach of contract.</w:t>
      </w:r>
      <w:bookmarkStart w:id="23" w:name="co_fnRef_B00012049446260_ID0ELPAG_1"/>
      <w:bookmarkEnd w:id="23"/>
      <w:r w:rsidRPr="00873E23">
        <w:rPr>
          <w:rFonts w:ascii="Times New Roman" w:hAnsi="Times New Roman" w:cs="Times New Roman"/>
          <w:color w:val="000000"/>
          <w:sz w:val="24"/>
          <w:szCs w:val="24"/>
        </w:rPr>
        <w:t xml:space="preserve"> Rather, the question is whether the Limitation Provision agreed </w:t>
      </w:r>
      <w:r w:rsidRPr="00873E23">
        <w:rPr>
          <w:rFonts w:ascii="Times New Roman" w:hAnsi="Times New Roman" w:cs="Times New Roman"/>
          <w:color w:val="000000"/>
          <w:sz w:val="24"/>
          <w:szCs w:val="24"/>
        </w:rPr>
        <w:lastRenderedPageBreak/>
        <w:t>to by the parties in this case, who were at the time creating a landlord-tenant relationship, applies to Langley’s premises-liability tort claim.</w:t>
      </w:r>
    </w:p>
    <w:p w:rsidR="00873E23" w:rsidRDefault="00873E23" w:rsidP="00873E23">
      <w:pPr>
        <w:spacing w:line="360" w:lineRule="auto"/>
        <w:contextualSpacing/>
        <w:rPr>
          <w:rFonts w:ascii="Times New Roman" w:hAnsi="Times New Roman" w:cs="Times New Roman"/>
          <w:color w:val="000000"/>
          <w:sz w:val="24"/>
          <w:szCs w:val="24"/>
        </w:rPr>
      </w:pP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323.  “</w:t>
      </w:r>
      <w:r w:rsidRPr="00873E23">
        <w:rPr>
          <w:rFonts w:ascii="Times New Roman" w:hAnsi="Times New Roman" w:cs="Times New Roman"/>
          <w:color w:val="000000"/>
          <w:sz w:val="24"/>
          <w:szCs w:val="24"/>
        </w:rPr>
        <w:t xml:space="preserve">Here, the seemingly unlimited phrase </w:t>
      </w:r>
      <w:r>
        <w:rPr>
          <w:rFonts w:ascii="Times New Roman" w:hAnsi="Times New Roman" w:cs="Times New Roman"/>
          <w:color w:val="000000"/>
          <w:sz w:val="24"/>
          <w:szCs w:val="24"/>
        </w:rPr>
        <w:t>‘</w:t>
      </w:r>
      <w:r w:rsidRPr="00873E23">
        <w:rPr>
          <w:rFonts w:ascii="Times New Roman" w:hAnsi="Times New Roman" w:cs="Times New Roman"/>
          <w:color w:val="000000"/>
          <w:sz w:val="24"/>
          <w:szCs w:val="24"/>
        </w:rPr>
        <w:t>any legal action</w:t>
      </w:r>
      <w:r>
        <w:rPr>
          <w:rFonts w:ascii="Times New Roman" w:hAnsi="Times New Roman" w:cs="Times New Roman"/>
          <w:color w:val="000000"/>
          <w:sz w:val="24"/>
          <w:szCs w:val="24"/>
        </w:rPr>
        <w:t>’</w:t>
      </w:r>
      <w:r w:rsidRPr="00873E23">
        <w:rPr>
          <w:rFonts w:ascii="Times New Roman" w:hAnsi="Times New Roman" w:cs="Times New Roman"/>
          <w:color w:val="000000"/>
          <w:sz w:val="24"/>
          <w:szCs w:val="24"/>
        </w:rPr>
        <w:t xml:space="preserve"> is found near the end of a contract establishing a lease agreement. This raises the question of whether </w:t>
      </w:r>
      <w:r>
        <w:rPr>
          <w:rFonts w:ascii="Times New Roman" w:hAnsi="Times New Roman" w:cs="Times New Roman"/>
          <w:color w:val="000000"/>
          <w:sz w:val="24"/>
          <w:szCs w:val="24"/>
        </w:rPr>
        <w:t>‘</w:t>
      </w:r>
      <w:r w:rsidRPr="00873E23">
        <w:rPr>
          <w:rFonts w:ascii="Times New Roman" w:hAnsi="Times New Roman" w:cs="Times New Roman"/>
          <w:color w:val="000000"/>
          <w:sz w:val="24"/>
          <w:szCs w:val="24"/>
        </w:rPr>
        <w:t>any legal action</w:t>
      </w:r>
      <w:r>
        <w:rPr>
          <w:rFonts w:ascii="Times New Roman" w:hAnsi="Times New Roman" w:cs="Times New Roman"/>
          <w:color w:val="000000"/>
          <w:sz w:val="24"/>
          <w:szCs w:val="24"/>
        </w:rPr>
        <w:t>’</w:t>
      </w:r>
      <w:r w:rsidRPr="00873E23">
        <w:rPr>
          <w:rFonts w:ascii="Times New Roman" w:hAnsi="Times New Roman" w:cs="Times New Roman"/>
          <w:color w:val="000000"/>
          <w:sz w:val="24"/>
          <w:szCs w:val="24"/>
        </w:rPr>
        <w:t xml:space="preserve"> should be given its literal meaning, or whether the parties intended to limit its application to lawsuits arising from the lease agreement.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325.</w:t>
      </w:r>
      <w:r w:rsidRPr="00873E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73E23">
        <w:rPr>
          <w:rFonts w:ascii="Times New Roman" w:hAnsi="Times New Roman" w:cs="Times New Roman"/>
          <w:color w:val="000000"/>
          <w:sz w:val="24"/>
          <w:szCs w:val="24"/>
        </w:rPr>
        <w:t>The conflict between the broad literal meaning of the phrase and the limited nature of the contract creates uncertainty as to the scope of the Limitation Provision. What is clear, however, is that in the face of this ambiguity, the agreement must be construed against Spring Lake, the drafter, and in favor of Langley, the non-drafter.</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p>
    <w:p w:rsidR="00873E23" w:rsidRDefault="00873E23" w:rsidP="00873E23">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4"/>
        </w:rPr>
        <w:tab/>
      </w:r>
      <w:r w:rsidR="00E01227">
        <w:rPr>
          <w:rFonts w:ascii="Times New Roman" w:hAnsi="Times New Roman" w:cs="Times New Roman"/>
          <w:color w:val="000000"/>
          <w:sz w:val="24"/>
          <w:szCs w:val="24"/>
        </w:rPr>
        <w:t>In determining the intent of the parties, the Court noted that the</w:t>
      </w:r>
      <w:r w:rsidR="00E01227">
        <w:rPr>
          <w:rFonts w:ascii="Times New Roman" w:hAnsi="Times New Roman" w:cs="Times New Roman"/>
          <w:color w:val="000000"/>
          <w:sz w:val="20"/>
          <w:szCs w:val="20"/>
        </w:rPr>
        <w:t xml:space="preserve"> </w:t>
      </w:r>
      <w:r w:rsidR="00E01227" w:rsidRPr="00E01227">
        <w:rPr>
          <w:rFonts w:ascii="Times New Roman" w:hAnsi="Times New Roman" w:cs="Times New Roman"/>
          <w:color w:val="000000"/>
          <w:sz w:val="24"/>
          <w:szCs w:val="20"/>
        </w:rPr>
        <w:t>contract, titled “Apartment Lease Contract,” demonstrates the parties’ clear intent to create a landlord-tenant relationship for a one-year term during which Langley agreed to rent a specific apartment “for use as a private residence.”</w:t>
      </w:r>
      <w:r w:rsidR="00E01227">
        <w:rPr>
          <w:rFonts w:ascii="Times New Roman" w:hAnsi="Times New Roman" w:cs="Times New Roman"/>
          <w:color w:val="000000"/>
          <w:sz w:val="24"/>
          <w:szCs w:val="20"/>
        </w:rPr>
        <w:t xml:space="preserve">  </w:t>
      </w:r>
      <w:r w:rsidR="00E01227">
        <w:rPr>
          <w:rFonts w:ascii="Times New Roman" w:hAnsi="Times New Roman" w:cs="Times New Roman"/>
          <w:i/>
          <w:color w:val="000000"/>
          <w:sz w:val="24"/>
          <w:szCs w:val="20"/>
        </w:rPr>
        <w:t>Id.</w:t>
      </w:r>
      <w:r w:rsidR="00E01227">
        <w:rPr>
          <w:rFonts w:ascii="Times New Roman" w:hAnsi="Times New Roman" w:cs="Times New Roman"/>
          <w:color w:val="000000"/>
          <w:sz w:val="24"/>
          <w:szCs w:val="20"/>
        </w:rPr>
        <w:t xml:space="preserve">  “In addition to </w:t>
      </w:r>
      <w:r w:rsidR="00E01227" w:rsidRPr="00E01227">
        <w:rPr>
          <w:rFonts w:ascii="Times New Roman" w:hAnsi="Times New Roman" w:cs="Times New Roman"/>
          <w:color w:val="000000"/>
          <w:sz w:val="24"/>
          <w:szCs w:val="20"/>
        </w:rPr>
        <w:t>specifying a number of duties owed by the parties to each other,</w:t>
      </w:r>
      <w:bookmarkStart w:id="24" w:name="co_fnRef_B00022049446260_ID0E4DBG_1"/>
      <w:bookmarkEnd w:id="24"/>
      <w:r w:rsidR="00E01227" w:rsidRPr="00E01227">
        <w:rPr>
          <w:rFonts w:ascii="Times New Roman" w:hAnsi="Times New Roman" w:cs="Times New Roman"/>
          <w:color w:val="000000"/>
          <w:sz w:val="24"/>
          <w:szCs w:val="20"/>
        </w:rPr>
        <w:t xml:space="preserve"> the lease agreement also invoked a significant body of landlord-tenant law, including a number of duties owed by Spring Lake to Langley that could not be waived by their agreement.</w:t>
      </w:r>
      <w:r w:rsidR="00E01227">
        <w:rPr>
          <w:rFonts w:ascii="Times New Roman" w:hAnsi="Times New Roman" w:cs="Times New Roman"/>
          <w:color w:val="000000"/>
          <w:sz w:val="24"/>
          <w:szCs w:val="20"/>
        </w:rPr>
        <w:t xml:space="preserve">”  </w:t>
      </w:r>
      <w:r w:rsidR="00E01227">
        <w:rPr>
          <w:rFonts w:ascii="Times New Roman" w:hAnsi="Times New Roman" w:cs="Times New Roman"/>
          <w:i/>
          <w:color w:val="000000"/>
          <w:sz w:val="24"/>
          <w:szCs w:val="20"/>
        </w:rPr>
        <w:t>Id.</w:t>
      </w:r>
      <w:r w:rsidR="00E01227">
        <w:rPr>
          <w:rFonts w:ascii="Times New Roman" w:hAnsi="Times New Roman" w:cs="Times New Roman"/>
          <w:color w:val="000000"/>
          <w:sz w:val="24"/>
          <w:szCs w:val="20"/>
        </w:rPr>
        <w:t xml:space="preserve"> at 325-26 (citing O.C.G.A. § 44-71-2).  These duties sound only in contract, not in tort.  </w:t>
      </w:r>
      <w:r w:rsidR="00E01227">
        <w:rPr>
          <w:rFonts w:ascii="Times New Roman" w:hAnsi="Times New Roman" w:cs="Times New Roman"/>
          <w:i/>
          <w:color w:val="000000"/>
          <w:sz w:val="24"/>
          <w:szCs w:val="20"/>
        </w:rPr>
        <w:t>Id.</w:t>
      </w:r>
      <w:r w:rsidR="00E01227">
        <w:rPr>
          <w:rFonts w:ascii="Times New Roman" w:hAnsi="Times New Roman" w:cs="Times New Roman"/>
          <w:color w:val="000000"/>
          <w:sz w:val="24"/>
          <w:szCs w:val="20"/>
        </w:rPr>
        <w:t xml:space="preserve"> at 326.</w:t>
      </w:r>
    </w:p>
    <w:p w:rsidR="00E01227" w:rsidRDefault="00E01227" w:rsidP="00873E23">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 xml:space="preserve">The Court noted, however, that Langley’s claims were brought in tort.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w:t>
      </w:r>
      <w:r w:rsidRPr="00E01227">
        <w:rPr>
          <w:rFonts w:ascii="Times New Roman" w:hAnsi="Times New Roman" w:cs="Times New Roman"/>
          <w:color w:val="000000"/>
          <w:sz w:val="24"/>
          <w:szCs w:val="20"/>
        </w:rPr>
        <w:t xml:space="preserve">Although her lawsuit notes that she was a tenant at property owned by Spring Lake at the time of her injuries, Langley’s lawsuit against Spring Lake is not legally predicated on the landlord-tenant relationship between Langley and Spring Lake. Her tort claim is instead a </w:t>
      </w:r>
      <w:bookmarkStart w:id="25" w:name="co_pp_sp_711_806_1"/>
      <w:bookmarkEnd w:id="25"/>
      <w:r w:rsidRPr="00E01227">
        <w:rPr>
          <w:rFonts w:ascii="Times New Roman" w:hAnsi="Times New Roman" w:cs="Times New Roman"/>
          <w:color w:val="000000"/>
          <w:sz w:val="24"/>
          <w:szCs w:val="20"/>
        </w:rPr>
        <w:t>premises-liability claim predicated on Spring Lake’s status as a property owner and Langley’s status as an invitee on that property.</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sidRPr="00E01227">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E01227">
        <w:rPr>
          <w:rFonts w:ascii="Times New Roman" w:hAnsi="Times New Roman" w:cs="Times New Roman"/>
          <w:color w:val="000000"/>
          <w:sz w:val="24"/>
          <w:szCs w:val="20"/>
        </w:rPr>
        <w:t>The relationship between an owner and an invitee is separate from the relationship between a landlord and a tenant. Those relationships involve distinct statutory duties—one sounding in tort, the other in contract—even though a person’s status as a tenant may also make that person an invitee to the property.</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p>
    <w:p w:rsidR="00E01227" w:rsidRDefault="00E01227" w:rsidP="00873E23">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ab/>
        <w:t>Given the limited purpose of the lease contract and the legal relationship it created between Langley and Spring Lake, the relevant question for the Court became whether the Limitation Provision was “</w:t>
      </w:r>
      <w:r w:rsidRPr="00E01227">
        <w:rPr>
          <w:rFonts w:ascii="Times New Roman" w:hAnsi="Times New Roman" w:cs="Times New Roman"/>
          <w:color w:val="000000"/>
          <w:sz w:val="24"/>
          <w:szCs w:val="20"/>
        </w:rPr>
        <w:t xml:space="preserve">intended to apply to the conceivable universe of legal claims that may arise between the parties, or </w:t>
      </w:r>
      <w:r>
        <w:rPr>
          <w:rFonts w:ascii="Times New Roman" w:hAnsi="Times New Roman" w:cs="Times New Roman"/>
          <w:color w:val="000000"/>
          <w:sz w:val="24"/>
          <w:szCs w:val="20"/>
        </w:rPr>
        <w:t>[wa</w:t>
      </w:r>
      <w:r w:rsidRPr="00E01227">
        <w:rPr>
          <w:rFonts w:ascii="Times New Roman" w:hAnsi="Times New Roman" w:cs="Times New Roman"/>
          <w:color w:val="000000"/>
          <w:sz w:val="24"/>
          <w:szCs w:val="20"/>
        </w:rPr>
        <w:t>s</w:t>
      </w:r>
      <w:r>
        <w:rPr>
          <w:rFonts w:ascii="Times New Roman" w:hAnsi="Times New Roman" w:cs="Times New Roman"/>
          <w:color w:val="000000"/>
          <w:sz w:val="24"/>
          <w:szCs w:val="20"/>
        </w:rPr>
        <w:t>]</w:t>
      </w:r>
      <w:r w:rsidRPr="00E01227">
        <w:rPr>
          <w:rFonts w:ascii="Times New Roman" w:hAnsi="Times New Roman" w:cs="Times New Roman"/>
          <w:color w:val="000000"/>
          <w:sz w:val="24"/>
          <w:szCs w:val="20"/>
        </w:rPr>
        <w:t xml:space="preserve"> its applicability limited to claims arising from the lease agreement?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327.  Due to the nature of the contract, and because the Court construed the lease against Spring Lake and found that Langley’s proposed revision was reasonable, the Court construed the Limitation Provision to apply only to claims arising from the contract, and not to Langley’s free-standing tort claims.  </w:t>
      </w:r>
      <w:r>
        <w:rPr>
          <w:rFonts w:ascii="Times New Roman" w:hAnsi="Times New Roman" w:cs="Times New Roman"/>
          <w:i/>
          <w:color w:val="000000"/>
          <w:sz w:val="24"/>
          <w:szCs w:val="20"/>
        </w:rPr>
        <w:t>Id.</w:t>
      </w:r>
    </w:p>
    <w:p w:rsidR="008D6130" w:rsidRDefault="008D6130" w:rsidP="00873E23">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w:t>
      </w:r>
      <w:r w:rsidRPr="008D6130">
        <w:rPr>
          <w:rFonts w:ascii="Times New Roman" w:hAnsi="Times New Roman" w:cs="Times New Roman"/>
          <w:color w:val="000000"/>
          <w:sz w:val="24"/>
          <w:szCs w:val="20"/>
        </w:rPr>
        <w:t>Construing the lease against Spring Lake forecloses the possibility that the Limitation Provision was intended to apply to any and all possible legal claims that may arise between the parties. It is difficult to believe, for example, that the parties intended the Limitation Provision to apply to tort claims resulting from a traffic accident miles away from the apartment complex between Langley’s and the property manager’s vehicles, an intentional tort lawsuit against a property manager for punching a tenant, or a shareholder liability suit if Langley happened to be a shareholder in MP Spring Lake, LLC.</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w:t>
      </w:r>
      <w:r w:rsidRPr="008D6130">
        <w:rPr>
          <w:rFonts w:ascii="Times New Roman" w:hAnsi="Times New Roman" w:cs="Times New Roman"/>
          <w:color w:val="000000"/>
          <w:sz w:val="24"/>
          <w:szCs w:val="20"/>
        </w:rPr>
        <w:t xml:space="preserve"> Instead, when read in the context of the lease agreement, </w:t>
      </w:r>
      <w:r>
        <w:rPr>
          <w:rFonts w:ascii="Times New Roman" w:hAnsi="Times New Roman" w:cs="Times New Roman"/>
          <w:color w:val="000000"/>
          <w:sz w:val="24"/>
          <w:szCs w:val="20"/>
        </w:rPr>
        <w:t>the Court</w:t>
      </w:r>
      <w:r w:rsidRPr="008D6130">
        <w:rPr>
          <w:rFonts w:ascii="Times New Roman" w:hAnsi="Times New Roman" w:cs="Times New Roman"/>
          <w:color w:val="000000"/>
          <w:sz w:val="24"/>
          <w:szCs w:val="20"/>
        </w:rPr>
        <w:t xml:space="preserve"> conclude</w:t>
      </w:r>
      <w:r>
        <w:rPr>
          <w:rFonts w:ascii="Times New Roman" w:hAnsi="Times New Roman" w:cs="Times New Roman"/>
          <w:color w:val="000000"/>
          <w:sz w:val="24"/>
          <w:szCs w:val="20"/>
        </w:rPr>
        <w:t>d</w:t>
      </w:r>
      <w:r w:rsidRPr="008D6130">
        <w:rPr>
          <w:rFonts w:ascii="Times New Roman" w:hAnsi="Times New Roman" w:cs="Times New Roman"/>
          <w:color w:val="000000"/>
          <w:sz w:val="24"/>
          <w:szCs w:val="20"/>
        </w:rPr>
        <w:t xml:space="preserve"> that the general language “any legal action,” in the absence of language specifically encompassing tort claims, </w:t>
      </w:r>
      <w:r>
        <w:rPr>
          <w:rFonts w:ascii="Times New Roman" w:hAnsi="Times New Roman" w:cs="Times New Roman"/>
          <w:color w:val="000000"/>
          <w:sz w:val="24"/>
          <w:szCs w:val="20"/>
        </w:rPr>
        <w:t>was</w:t>
      </w:r>
      <w:r w:rsidRPr="008D6130">
        <w:rPr>
          <w:rFonts w:ascii="Times New Roman" w:hAnsi="Times New Roman" w:cs="Times New Roman"/>
          <w:color w:val="000000"/>
          <w:sz w:val="24"/>
          <w:szCs w:val="20"/>
        </w:rPr>
        <w:t xml:space="preserve"> limited to claims arising out of the lease agreement.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p>
    <w:p w:rsidR="008D6130" w:rsidRDefault="008D6130" w:rsidP="00873E23">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 xml:space="preserve">The Court noted that nothing in the lease agreement suggested that it created any relationship other than that of landlord and tenant, or that it covered subject matter beyond that relationship or the parties’ rights and obligations specified in the lease agreement.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This suggested that “nothing in the lease should be read to apply to, or to curtail, tort claims, or to otherwise speak to legal rights beyond those arising from the lease agreement and the body of law creating contractual duties between landlords and tenants.”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Spring Lake could point to no </w:t>
      </w:r>
      <w:r w:rsidRPr="008D6130">
        <w:rPr>
          <w:rFonts w:ascii="Times New Roman" w:hAnsi="Times New Roman" w:cs="Times New Roman"/>
          <w:color w:val="000000"/>
          <w:sz w:val="24"/>
          <w:szCs w:val="20"/>
        </w:rPr>
        <w:t>Georgia case in which a contractual limitation provision ha</w:t>
      </w:r>
      <w:r>
        <w:rPr>
          <w:rFonts w:ascii="Times New Roman" w:hAnsi="Times New Roman" w:cs="Times New Roman"/>
          <w:color w:val="000000"/>
          <w:sz w:val="24"/>
          <w:szCs w:val="20"/>
        </w:rPr>
        <w:t>d</w:t>
      </w:r>
      <w:r w:rsidRPr="008D6130">
        <w:rPr>
          <w:rFonts w:ascii="Times New Roman" w:hAnsi="Times New Roman" w:cs="Times New Roman"/>
          <w:color w:val="000000"/>
          <w:sz w:val="24"/>
          <w:szCs w:val="20"/>
        </w:rPr>
        <w:t xml:space="preserve"> ever been applied to a claim not arising from the underlying contract, and </w:t>
      </w:r>
      <w:r>
        <w:rPr>
          <w:rFonts w:ascii="Times New Roman" w:hAnsi="Times New Roman" w:cs="Times New Roman"/>
          <w:color w:val="000000"/>
          <w:sz w:val="24"/>
          <w:szCs w:val="20"/>
        </w:rPr>
        <w:t>the Court</w:t>
      </w:r>
      <w:r w:rsidRPr="008D6130">
        <w:rPr>
          <w:rFonts w:ascii="Times New Roman" w:hAnsi="Times New Roman" w:cs="Times New Roman"/>
          <w:color w:val="000000"/>
          <w:sz w:val="24"/>
          <w:szCs w:val="20"/>
        </w:rPr>
        <w:t xml:space="preserve"> found no case from anywhere in the country applying such </w:t>
      </w:r>
      <w:r w:rsidRPr="008D6130">
        <w:rPr>
          <w:rFonts w:ascii="Times New Roman" w:hAnsi="Times New Roman" w:cs="Times New Roman"/>
          <w:color w:val="000000"/>
          <w:sz w:val="24"/>
          <w:szCs w:val="20"/>
        </w:rPr>
        <w:lastRenderedPageBreak/>
        <w:t>general limitation language in a residential lease agreement to a free-standing tort claim</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328.</w:t>
      </w:r>
    </w:p>
    <w:p w:rsidR="001E2E9D" w:rsidRPr="001E2E9D" w:rsidRDefault="001E2E9D" w:rsidP="00873E23">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0"/>
        </w:rPr>
        <w:tab/>
        <w:t>The Court expressed “</w:t>
      </w:r>
      <w:r w:rsidRPr="001E2E9D">
        <w:rPr>
          <w:rFonts w:ascii="Times New Roman" w:hAnsi="Times New Roman" w:cs="Times New Roman"/>
          <w:color w:val="000000"/>
          <w:sz w:val="24"/>
          <w:szCs w:val="20"/>
        </w:rPr>
        <w:t xml:space="preserve">no opinion as to whether a lease agreement ever </w:t>
      </w:r>
      <w:r w:rsidRPr="001E2E9D">
        <w:rPr>
          <w:rFonts w:ascii="Times New Roman" w:hAnsi="Times New Roman" w:cs="Times New Roman"/>
          <w:i/>
          <w:iCs/>
          <w:color w:val="000000"/>
          <w:sz w:val="24"/>
          <w:szCs w:val="20"/>
        </w:rPr>
        <w:t>could</w:t>
      </w:r>
      <w:r w:rsidRPr="001E2E9D">
        <w:rPr>
          <w:rFonts w:ascii="Times New Roman" w:hAnsi="Times New Roman" w:cs="Times New Roman"/>
          <w:color w:val="000000"/>
          <w:sz w:val="24"/>
          <w:szCs w:val="20"/>
        </w:rPr>
        <w:t xml:space="preserve"> be worded and structured so as to provide limitations on the period in which the tenant could bring tort claims against the landlord, and </w:t>
      </w:r>
      <w:r>
        <w:rPr>
          <w:rFonts w:ascii="Times New Roman" w:hAnsi="Times New Roman" w:cs="Times New Roman"/>
          <w:color w:val="000000"/>
          <w:sz w:val="24"/>
          <w:szCs w:val="20"/>
        </w:rPr>
        <w:t>…</w:t>
      </w:r>
      <w:r w:rsidRPr="001E2E9D">
        <w:rPr>
          <w:rFonts w:ascii="Times New Roman" w:hAnsi="Times New Roman" w:cs="Times New Roman"/>
          <w:color w:val="000000"/>
          <w:sz w:val="24"/>
          <w:szCs w:val="20"/>
        </w:rPr>
        <w:t xml:space="preserve"> likewise express</w:t>
      </w:r>
      <w:r>
        <w:rPr>
          <w:rFonts w:ascii="Times New Roman" w:hAnsi="Times New Roman" w:cs="Times New Roman"/>
          <w:color w:val="000000"/>
          <w:sz w:val="24"/>
          <w:szCs w:val="20"/>
        </w:rPr>
        <w:t>[ed]</w:t>
      </w:r>
      <w:r w:rsidRPr="001E2E9D">
        <w:rPr>
          <w:rFonts w:ascii="Times New Roman" w:hAnsi="Times New Roman" w:cs="Times New Roman"/>
          <w:color w:val="000000"/>
          <w:sz w:val="24"/>
          <w:szCs w:val="20"/>
        </w:rPr>
        <w:t xml:space="preserve"> no opinion about the extent to which such limitations would be enforceable</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329.  Because the best reading of the lease agreement suggested that this is not what the parties intended, the Court did not need to reach those questions.  </w:t>
      </w:r>
      <w:r>
        <w:rPr>
          <w:rFonts w:ascii="Times New Roman" w:hAnsi="Times New Roman" w:cs="Times New Roman"/>
          <w:i/>
          <w:color w:val="000000"/>
          <w:sz w:val="24"/>
          <w:szCs w:val="20"/>
        </w:rPr>
        <w:t>Id.</w:t>
      </w:r>
    </w:p>
    <w:p w:rsidR="00B01117" w:rsidRDefault="00B01117" w:rsidP="00B01117">
      <w:pPr>
        <w:spacing w:line="360" w:lineRule="auto"/>
        <w:ind w:left="1440" w:hanging="72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C.</w:t>
      </w:r>
      <w:r>
        <w:rPr>
          <w:rFonts w:ascii="Times New Roman" w:hAnsi="Times New Roman" w:cs="Times New Roman"/>
          <w:b/>
          <w:color w:val="000000"/>
          <w:sz w:val="24"/>
          <w:szCs w:val="24"/>
        </w:rPr>
        <w:tab/>
        <w:t>Parties Can Have An Intent Not To Be Bound Even With A Signed “Contract”</w:t>
      </w:r>
    </w:p>
    <w:p w:rsidR="00B01117" w:rsidRDefault="00B01117" w:rsidP="00B01117">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000000"/>
          <w:sz w:val="24"/>
          <w:szCs w:val="24"/>
        </w:rPr>
        <w:t xml:space="preserve">In </w:t>
      </w:r>
      <w:r>
        <w:rPr>
          <w:rFonts w:ascii="Times New Roman" w:hAnsi="Times New Roman" w:cs="Times New Roman"/>
          <w:i/>
          <w:color w:val="000000"/>
          <w:sz w:val="24"/>
          <w:szCs w:val="24"/>
        </w:rPr>
        <w:t>Moreno v. Smith</w:t>
      </w:r>
      <w:r>
        <w:rPr>
          <w:rFonts w:ascii="Times New Roman" w:hAnsi="Times New Roman" w:cs="Times New Roman"/>
          <w:color w:val="000000"/>
          <w:sz w:val="24"/>
          <w:szCs w:val="24"/>
        </w:rPr>
        <w:t xml:space="preserve">, 299 Ga. 443 (2016), Dolores Moreno acquired a residential property as a gift.  Three years later, she gave a one-half interest in the property to her daughter Gina as a gift, and Dolores and Gina signed a document purporting to be a contract.  </w:t>
      </w:r>
      <w:r w:rsidRPr="00B01117">
        <w:rPr>
          <w:rFonts w:ascii="Times New Roman" w:hAnsi="Times New Roman" w:cs="Times New Roman"/>
          <w:color w:val="212121"/>
          <w:sz w:val="24"/>
          <w:szCs w:val="24"/>
        </w:rPr>
        <w:t>According to that document, Dolores agreed to sell her remaining one-half interest in the property to Gina, and Gina agreed to pay $75,000 to Dolores in $400 monthly installments. After six more years passed, Gina had made no payments to Dolores, and Dolores filed a lawsuit against Gina for breach of contract and for an equitable accounting as between tenants in common. The trial court granted partial summary judgment to Dolores, concluding that the undisputed evidence showed as a matter of law that Dolores and Gina had entered into a binding and enforceable contract for the purchase and sale of the property</w:t>
      </w:r>
      <w:r>
        <w:rPr>
          <w:rFonts w:ascii="Times New Roman" w:hAnsi="Times New Roman" w:cs="Times New Roman"/>
          <w:color w:val="212121"/>
          <w:sz w:val="24"/>
          <w:szCs w:val="24"/>
        </w:rPr>
        <w:t>.</w:t>
      </w:r>
    </w:p>
    <w:p w:rsidR="00E04B5F" w:rsidRDefault="00E04B5F" w:rsidP="00B01117">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On appeal, Gina argued that </w:t>
      </w:r>
      <w:r w:rsidRPr="00E04B5F">
        <w:rPr>
          <w:rFonts w:ascii="Times New Roman" w:hAnsi="Times New Roman" w:cs="Times New Roman"/>
          <w:color w:val="212121"/>
          <w:sz w:val="24"/>
          <w:szCs w:val="24"/>
        </w:rPr>
        <w:t>the trial court erred when it awarded partial summary judgment to Dolores and concluded as a matter of law that Dolores and Gina had entered into a binding and enforceable contract</w:t>
      </w:r>
      <w:r>
        <w:rPr>
          <w:rFonts w:ascii="Times New Roman" w:hAnsi="Times New Roman" w:cs="Times New Roman"/>
          <w:color w:val="212121"/>
          <w:sz w:val="24"/>
          <w:szCs w:val="24"/>
        </w:rPr>
        <w:t>, and the Supreme Court agreed</w:t>
      </w:r>
      <w:r w:rsidRPr="00E04B5F">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444.</w:t>
      </w:r>
      <w:r w:rsidRPr="00E04B5F">
        <w:rPr>
          <w:rFonts w:ascii="Times New Roman" w:hAnsi="Times New Roman" w:cs="Times New Roman"/>
          <w:color w:val="212121"/>
          <w:sz w:val="24"/>
          <w:szCs w:val="24"/>
        </w:rPr>
        <w:t xml:space="preserve">  Although the document that Dolores and Gina signed purport</w:t>
      </w:r>
      <w:r>
        <w:rPr>
          <w:rFonts w:ascii="Times New Roman" w:hAnsi="Times New Roman" w:cs="Times New Roman"/>
          <w:color w:val="212121"/>
          <w:sz w:val="24"/>
          <w:szCs w:val="24"/>
        </w:rPr>
        <w:t>ed</w:t>
      </w:r>
      <w:r w:rsidRPr="00E04B5F">
        <w:rPr>
          <w:rFonts w:ascii="Times New Roman" w:hAnsi="Times New Roman" w:cs="Times New Roman"/>
          <w:color w:val="212121"/>
          <w:sz w:val="24"/>
          <w:szCs w:val="24"/>
        </w:rPr>
        <w:t xml:space="preserve"> to be a binding contract, Gina offered evidence that tend</w:t>
      </w:r>
      <w:r>
        <w:rPr>
          <w:rFonts w:ascii="Times New Roman" w:hAnsi="Times New Roman" w:cs="Times New Roman"/>
          <w:color w:val="212121"/>
          <w:sz w:val="24"/>
          <w:szCs w:val="24"/>
        </w:rPr>
        <w:t>ed</w:t>
      </w:r>
      <w:r w:rsidRPr="00E04B5F">
        <w:rPr>
          <w:rFonts w:ascii="Times New Roman" w:hAnsi="Times New Roman" w:cs="Times New Roman"/>
          <w:color w:val="212121"/>
          <w:sz w:val="24"/>
          <w:szCs w:val="24"/>
        </w:rPr>
        <w:t xml:space="preserve"> to show that no contract was made. Indeed, Gina submitted an affidavit in opposition to the motion for summary judgment in which she said, among other things, that she had signed the document in question at the request of her mother for the sole purpose of enabling Dolores to demonstrate an interest in the </w:t>
      </w:r>
      <w:r w:rsidRPr="00E04B5F">
        <w:rPr>
          <w:rFonts w:ascii="Times New Roman" w:hAnsi="Times New Roman" w:cs="Times New Roman"/>
          <w:color w:val="212121"/>
          <w:sz w:val="24"/>
          <w:szCs w:val="24"/>
        </w:rPr>
        <w:lastRenderedPageBreak/>
        <w:t>property and that she was earning income from it. Gina also said in her affidavit that, as of the time the document was signed, Dolores consistently had made statements to indicate that Gina was not expected to pay anything to Dolores for the property</w:t>
      </w:r>
      <w:r>
        <w:rPr>
          <w:rFonts w:ascii="Times New Roman" w:hAnsi="Times New Roman" w:cs="Times New Roman"/>
          <w:color w:val="212121"/>
          <w:sz w:val="24"/>
          <w:szCs w:val="24"/>
        </w:rPr>
        <w:t>.</w:t>
      </w:r>
    </w:p>
    <w:p w:rsidR="00E04B5F" w:rsidRDefault="00E04B5F" w:rsidP="00B01117">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212121"/>
          <w:sz w:val="24"/>
          <w:szCs w:val="24"/>
        </w:rPr>
        <w:t>The Supreme Court noted that it is “</w:t>
      </w:r>
      <w:r w:rsidRPr="00E04B5F">
        <w:rPr>
          <w:rFonts w:ascii="Times New Roman" w:hAnsi="Times New Roman" w:cs="Times New Roman"/>
          <w:color w:val="212121"/>
          <w:sz w:val="24"/>
          <w:szCs w:val="24"/>
        </w:rPr>
        <w:t>well settled that an agreement between two parties will occur only when the minds of the parties meet at the same time, upon the same subject-matter, and in the same sense.”</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(quoting </w:t>
      </w:r>
      <w:r>
        <w:rPr>
          <w:rFonts w:ascii="Times New Roman" w:hAnsi="Times New Roman" w:cs="Times New Roman"/>
          <w:i/>
          <w:color w:val="212121"/>
          <w:sz w:val="24"/>
          <w:szCs w:val="24"/>
        </w:rPr>
        <w:t>Cox Broadcasting Corp. v. Nat. Collegiate Athletic Assoc.</w:t>
      </w:r>
      <w:r>
        <w:rPr>
          <w:rFonts w:ascii="Times New Roman" w:hAnsi="Times New Roman" w:cs="Times New Roman"/>
          <w:color w:val="212121"/>
          <w:sz w:val="24"/>
          <w:szCs w:val="24"/>
        </w:rPr>
        <w:t>, 205 Ga. 391, 395 (1982)).  To determine whether the parties had the mutual assent or meeting of the minds that is essential for the formation of a binding and enforceable contract, “</w:t>
      </w:r>
      <w:r w:rsidRPr="00E04B5F">
        <w:rPr>
          <w:rFonts w:ascii="Times New Roman" w:hAnsi="Times New Roman" w:cs="Times New Roman"/>
          <w:color w:val="212121"/>
          <w:sz w:val="24"/>
          <w:szCs w:val="24"/>
        </w:rPr>
        <w:t>courts apply an objective theory of intent whereby one party's intention is deemed to be that meaning a reasonable man in the position of the other contracting party would ascribe to the first party's manifestations of assent, or that meaning which the other contracting party knew the first party ascribed to his manifestations of assent.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444-45.</w:t>
      </w:r>
      <w:r w:rsidR="00A233A9">
        <w:rPr>
          <w:rFonts w:ascii="Times New Roman" w:hAnsi="Times New Roman" w:cs="Times New Roman"/>
          <w:color w:val="212121"/>
          <w:sz w:val="24"/>
          <w:szCs w:val="24"/>
        </w:rPr>
        <w:t xml:space="preserve">  The court further explained, “</w:t>
      </w:r>
      <w:r w:rsidR="00A233A9" w:rsidRPr="00A233A9">
        <w:rPr>
          <w:rFonts w:ascii="Times New Roman" w:hAnsi="Times New Roman" w:cs="Times New Roman"/>
          <w:color w:val="212121"/>
          <w:sz w:val="24"/>
          <w:szCs w:val="24"/>
        </w:rPr>
        <w:t>in those unusual instances in which one </w:t>
      </w:r>
      <w:r w:rsidR="00A233A9" w:rsidRPr="00A233A9">
        <w:rPr>
          <w:rStyle w:val="Emphasis"/>
          <w:rFonts w:ascii="Times New Roman" w:hAnsi="Times New Roman" w:cs="Times New Roman"/>
          <w:color w:val="212121"/>
          <w:sz w:val="24"/>
          <w:szCs w:val="24"/>
        </w:rPr>
        <w:t>intends</w:t>
      </w:r>
      <w:r w:rsidR="00A233A9" w:rsidRPr="00A233A9">
        <w:rPr>
          <w:rFonts w:ascii="Times New Roman" w:hAnsi="Times New Roman" w:cs="Times New Roman"/>
          <w:color w:val="212121"/>
          <w:sz w:val="24"/>
          <w:szCs w:val="24"/>
        </w:rPr>
        <w:t> that one's assent have </w:t>
      </w:r>
      <w:r w:rsidR="00A233A9" w:rsidRPr="00A233A9">
        <w:rPr>
          <w:rStyle w:val="Emphasis"/>
          <w:rFonts w:ascii="Times New Roman" w:hAnsi="Times New Roman" w:cs="Times New Roman"/>
          <w:color w:val="212121"/>
          <w:sz w:val="24"/>
          <w:szCs w:val="24"/>
        </w:rPr>
        <w:t>no</w:t>
      </w:r>
      <w:r w:rsidR="00A233A9" w:rsidRPr="00A233A9">
        <w:rPr>
          <w:rFonts w:ascii="Times New Roman" w:hAnsi="Times New Roman" w:cs="Times New Roman"/>
          <w:color w:val="212121"/>
          <w:sz w:val="24"/>
          <w:szCs w:val="24"/>
        </w:rPr>
        <w:t> legal consequences[,] [u]nder the objective theory, a court will honor that intention if the other party has reason to know it. And it will honor it if the other party actually knows it.... The same result has been reached even though a written agreement is made as a sham, for the purpose of deceiving others, with an oral understanding that it will not be enforced.</w:t>
      </w:r>
      <w:r w:rsidR="00A233A9">
        <w:rPr>
          <w:rFonts w:ascii="Times New Roman" w:hAnsi="Times New Roman" w:cs="Times New Roman"/>
          <w:color w:val="212121"/>
          <w:sz w:val="24"/>
          <w:szCs w:val="24"/>
        </w:rPr>
        <w:t xml:space="preserve">”  </w:t>
      </w:r>
      <w:r w:rsidR="00A233A9">
        <w:rPr>
          <w:rFonts w:ascii="Times New Roman" w:hAnsi="Times New Roman" w:cs="Times New Roman"/>
          <w:i/>
          <w:color w:val="212121"/>
          <w:sz w:val="24"/>
          <w:szCs w:val="24"/>
        </w:rPr>
        <w:t>Id.</w:t>
      </w:r>
      <w:r w:rsidR="00A233A9">
        <w:rPr>
          <w:rFonts w:ascii="Times New Roman" w:hAnsi="Times New Roman" w:cs="Times New Roman"/>
          <w:color w:val="212121"/>
          <w:sz w:val="24"/>
          <w:szCs w:val="24"/>
        </w:rPr>
        <w:t xml:space="preserve"> at 445.  </w:t>
      </w:r>
      <w:r w:rsidR="00A233A9" w:rsidRPr="00A233A9">
        <w:rPr>
          <w:rFonts w:ascii="Times New Roman" w:hAnsi="Times New Roman" w:cs="Times New Roman"/>
          <w:color w:val="212121"/>
          <w:sz w:val="24"/>
          <w:szCs w:val="24"/>
        </w:rPr>
        <w:t>“The circumstances surrounding the making of the contract, such as correspondence and discussions, are relevant in deciding if there was a mutual assent to an agreement, and courts are free to consider such extrinsic evidence.  And where such extrinsic evidence exists and is disputed, the question of whether a party has assented to the contract is generally a matter for the jury.”</w:t>
      </w:r>
      <w:r w:rsidR="00A233A9">
        <w:rPr>
          <w:rFonts w:ascii="Times New Roman" w:hAnsi="Times New Roman" w:cs="Times New Roman"/>
          <w:color w:val="212121"/>
          <w:sz w:val="24"/>
          <w:szCs w:val="24"/>
        </w:rPr>
        <w:t xml:space="preserve">  </w:t>
      </w:r>
      <w:r w:rsidR="00A233A9">
        <w:rPr>
          <w:rFonts w:ascii="Times New Roman" w:hAnsi="Times New Roman" w:cs="Times New Roman"/>
          <w:i/>
          <w:color w:val="212121"/>
          <w:sz w:val="24"/>
          <w:szCs w:val="24"/>
        </w:rPr>
        <w:t>Id.</w:t>
      </w:r>
      <w:r w:rsidR="00A233A9">
        <w:rPr>
          <w:rFonts w:ascii="Times New Roman" w:hAnsi="Times New Roman" w:cs="Times New Roman"/>
          <w:color w:val="212121"/>
          <w:sz w:val="24"/>
          <w:szCs w:val="24"/>
        </w:rPr>
        <w:t xml:space="preserve"> (internal citations omitted).</w:t>
      </w:r>
    </w:p>
    <w:p w:rsidR="00A233A9" w:rsidRDefault="00A233A9" w:rsidP="00B01117">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Dolores relied </w:t>
      </w:r>
      <w:r w:rsidRPr="00A233A9">
        <w:rPr>
          <w:rFonts w:ascii="Times New Roman" w:hAnsi="Times New Roman" w:cs="Times New Roman"/>
          <w:color w:val="212121"/>
          <w:sz w:val="24"/>
          <w:szCs w:val="24"/>
        </w:rPr>
        <w:t>on the parol evidence rule, arguing that where a written contract is facially clear and complete, extrinsic evidence of contractual intent is immaterial and inadmissible to vary the terms of the contract. “Although parol evidence cannot be used to contradict or vary the terms of a valid written agreement, parol evidence may be used to show no valid agreement ever went into existence.”</w:t>
      </w:r>
      <w:r>
        <w:rPr>
          <w:rFonts w:ascii="Arial" w:hAnsi="Arial" w:cs="Arial"/>
          <w:color w:val="212121"/>
          <w:sz w:val="21"/>
          <w:szCs w:val="21"/>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(citation omitted).  “</w:t>
      </w:r>
      <w:r w:rsidRPr="00A233A9">
        <w:rPr>
          <w:rFonts w:ascii="Times New Roman" w:hAnsi="Times New Roman" w:cs="Times New Roman"/>
          <w:color w:val="212121"/>
          <w:sz w:val="24"/>
          <w:szCs w:val="24"/>
        </w:rPr>
        <w:t xml:space="preserve">In particular, ‘the basic rule that a sham contract or a contract that the parties understood </w:t>
      </w:r>
      <w:r w:rsidRPr="00A233A9">
        <w:rPr>
          <w:rFonts w:ascii="Times New Roman" w:hAnsi="Times New Roman" w:cs="Times New Roman"/>
          <w:color w:val="212121"/>
          <w:sz w:val="24"/>
          <w:szCs w:val="24"/>
        </w:rPr>
        <w:lastRenderedPageBreak/>
        <w:t>was not to be binding may be refuted by parol evidence to show that there was, in fact, no contract, is sensible and widely followed.’”</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r>
        <w:rPr>
          <w:rFonts w:ascii="Times New Roman" w:hAnsi="Times New Roman" w:cs="Times New Roman"/>
          <w:color w:val="212121"/>
          <w:sz w:val="24"/>
          <w:szCs w:val="24"/>
        </w:rPr>
        <w:t xml:space="preserve"> at 446 (citations omitted).</w:t>
      </w:r>
    </w:p>
    <w:p w:rsidR="00A233A9" w:rsidRDefault="00A233A9" w:rsidP="00B01117">
      <w:pPr>
        <w:spacing w:line="360" w:lineRule="auto"/>
        <w:ind w:firstLine="720"/>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Here, </w:t>
      </w:r>
      <w:r w:rsidRPr="00A233A9">
        <w:rPr>
          <w:rFonts w:ascii="Times New Roman" w:hAnsi="Times New Roman" w:cs="Times New Roman"/>
          <w:color w:val="212121"/>
          <w:sz w:val="24"/>
          <w:szCs w:val="24"/>
        </w:rPr>
        <w:t xml:space="preserve">Gina brought forward admissible evidence to show that Dolores and Gina did not intend to make a binding and enforceable contract when they signed the document, that the document was a mere sham, and that no binding and enforceable contract existed. </w:t>
      </w:r>
      <w:r>
        <w:rPr>
          <w:rFonts w:ascii="Times New Roman" w:hAnsi="Times New Roman" w:cs="Times New Roman"/>
          <w:color w:val="212121"/>
          <w:sz w:val="24"/>
          <w:szCs w:val="24"/>
        </w:rPr>
        <w:t xml:space="preserve"> </w:t>
      </w:r>
      <w:r w:rsidRPr="00A233A9">
        <w:rPr>
          <w:rFonts w:ascii="Times New Roman" w:hAnsi="Times New Roman" w:cs="Times New Roman"/>
          <w:color w:val="212121"/>
          <w:sz w:val="24"/>
          <w:szCs w:val="24"/>
        </w:rPr>
        <w:t>And although it is the parties</w:t>
      </w:r>
      <w:r>
        <w:rPr>
          <w:rFonts w:ascii="Times New Roman" w:hAnsi="Times New Roman" w:cs="Times New Roman"/>
          <w:color w:val="212121"/>
          <w:sz w:val="24"/>
          <w:szCs w:val="24"/>
        </w:rPr>
        <w:t>’</w:t>
      </w:r>
      <w:r w:rsidRPr="00A233A9">
        <w:rPr>
          <w:rFonts w:ascii="Times New Roman" w:hAnsi="Times New Roman" w:cs="Times New Roman"/>
          <w:color w:val="212121"/>
          <w:sz w:val="24"/>
          <w:szCs w:val="24"/>
        </w:rPr>
        <w:t xml:space="preserve"> intent at the time they allegedly entered the contract that matters, the evidence presented by Gina of their discussions at that time is arguably bolstered by other evidence of the circumstances surrounding the purported contract, including the ongoing relationship between the parties as mother and daughter, the undisputed fact that Dolores gifted a one-half interest in the property to Gina, the subsequent failure of Gina to make any monthly payments to Dolores, the failure of Dolores to assert a breach more promptly, and the repeated statements of Dolores that the property belonged to Gina and that Gina did not have to pay her anything. </w:t>
      </w:r>
      <w:r>
        <w:rPr>
          <w:rFonts w:ascii="Times New Roman" w:hAnsi="Times New Roman" w:cs="Times New Roman"/>
          <w:color w:val="212121"/>
          <w:sz w:val="24"/>
          <w:szCs w:val="24"/>
        </w:rPr>
        <w:t xml:space="preserve"> </w:t>
      </w:r>
      <w:r w:rsidRPr="00A233A9">
        <w:rPr>
          <w:rFonts w:ascii="Times New Roman" w:hAnsi="Times New Roman" w:cs="Times New Roman"/>
          <w:color w:val="212121"/>
          <w:sz w:val="24"/>
          <w:szCs w:val="24"/>
        </w:rPr>
        <w:t xml:space="preserve">Dolores disputed that evidence and presented her own evidence to show that she and Gina entered into a binding and enforceable contract. </w:t>
      </w:r>
      <w:r>
        <w:rPr>
          <w:rFonts w:ascii="Times New Roman" w:hAnsi="Times New Roman" w:cs="Times New Roman"/>
          <w:color w:val="212121"/>
          <w:sz w:val="24"/>
          <w:szCs w:val="24"/>
        </w:rPr>
        <w:t xml:space="preserve"> </w:t>
      </w:r>
      <w:r w:rsidRPr="00A233A9">
        <w:rPr>
          <w:rFonts w:ascii="Times New Roman" w:hAnsi="Times New Roman" w:cs="Times New Roman"/>
          <w:color w:val="212121"/>
          <w:sz w:val="24"/>
          <w:szCs w:val="24"/>
        </w:rPr>
        <w:t>But courts are not authorized to weigh disputed evidence and resolve conflicts in the evidence on summary judgment.  Accordingly, the court concluded that there was a genuine issue of disputed fact about the existence of a binding and enforceable contract in this case, and the trial court erred by granting partial summary judgment to Dolores on her claim for breach of contract.</w:t>
      </w:r>
      <w:r>
        <w:rPr>
          <w:rFonts w:ascii="Times New Roman" w:hAnsi="Times New Roman" w:cs="Times New Roman"/>
          <w:color w:val="212121"/>
          <w:sz w:val="24"/>
          <w:szCs w:val="24"/>
        </w:rPr>
        <w:t xml:space="preserve">  </w:t>
      </w:r>
      <w:r>
        <w:rPr>
          <w:rFonts w:ascii="Times New Roman" w:hAnsi="Times New Roman" w:cs="Times New Roman"/>
          <w:i/>
          <w:color w:val="212121"/>
          <w:sz w:val="24"/>
          <w:szCs w:val="24"/>
        </w:rPr>
        <w:t>Id.</w:t>
      </w:r>
    </w:p>
    <w:p w:rsidR="00A5769A" w:rsidRDefault="00334EEE" w:rsidP="00B01117">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t>Course of Conduct Can Modify Terms of a Contract</w:t>
      </w:r>
    </w:p>
    <w:p w:rsidR="00334EEE" w:rsidRDefault="00334EEE" w:rsidP="00334EEE">
      <w:pPr>
        <w:spacing w:line="360" w:lineRule="auto"/>
        <w:contextualSpacing/>
        <w:rPr>
          <w:rFonts w:ascii="Times New Roman" w:hAnsi="Times New Roman" w:cs="Times New Roman"/>
          <w:color w:val="000000"/>
          <w:sz w:val="24"/>
          <w:szCs w:val="20"/>
        </w:rPr>
      </w:pPr>
      <w:r>
        <w:rPr>
          <w:rFonts w:ascii="Times New Roman" w:hAnsi="Times New Roman" w:cs="Times New Roman"/>
          <w:sz w:val="24"/>
          <w:szCs w:val="24"/>
        </w:rPr>
        <w:tab/>
        <w:t xml:space="preserve">In </w:t>
      </w:r>
      <w:r>
        <w:rPr>
          <w:rFonts w:ascii="Times New Roman" w:hAnsi="Times New Roman" w:cs="Times New Roman"/>
          <w:i/>
          <w:sz w:val="24"/>
          <w:szCs w:val="24"/>
        </w:rPr>
        <w:t>Hanham v. Access Management Group, L.P.</w:t>
      </w:r>
      <w:r>
        <w:rPr>
          <w:rFonts w:ascii="Times New Roman" w:hAnsi="Times New Roman" w:cs="Times New Roman"/>
          <w:sz w:val="24"/>
          <w:szCs w:val="24"/>
        </w:rPr>
        <w:t xml:space="preserve">, 305 Ga. 414 (2019), there was a dispute between </w:t>
      </w:r>
      <w:r w:rsidRPr="00334EEE">
        <w:rPr>
          <w:rFonts w:ascii="Times New Roman" w:hAnsi="Times New Roman" w:cs="Times New Roman"/>
          <w:color w:val="000000"/>
          <w:sz w:val="24"/>
          <w:szCs w:val="20"/>
        </w:rPr>
        <w:t>James and Mary Hanham, homeowners within the St. Marlo subdivision, and Access Management Group L.P., the management agent for the St. Marlo Homeowner’s Association. In 2011, the Hanhams filed claims for trespass, nuisance, negligence, invasion of privacy and breach of contract against their neighbor Marie Berthe-Narchet (“Narchet”), her landscaper GreenMaster Landscaping Service, Inc., and Access Management in response to a landscaping project on Narchet’s property that resulted in flooding to the Hanhams’ property and restricted their view of the golf course.</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414.</w:t>
      </w:r>
      <w:r w:rsidRPr="00334EEE">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334EEE">
        <w:rPr>
          <w:rFonts w:ascii="Times New Roman" w:hAnsi="Times New Roman" w:cs="Times New Roman"/>
          <w:color w:val="000000"/>
          <w:sz w:val="24"/>
          <w:szCs w:val="20"/>
        </w:rPr>
        <w:t xml:space="preserve">During a 2016 jury trial, Access Management moved for a directed verdict on </w:t>
      </w:r>
      <w:r w:rsidRPr="00334EEE">
        <w:rPr>
          <w:rFonts w:ascii="Times New Roman" w:hAnsi="Times New Roman" w:cs="Times New Roman"/>
          <w:color w:val="000000"/>
          <w:sz w:val="24"/>
          <w:szCs w:val="20"/>
        </w:rPr>
        <w:lastRenderedPageBreak/>
        <w:t>the negligence and breach of contract claims; the trial court denied both motions. The jury subsequently found in favor of the Hanhams, and Access Management appealed to the Court of Appeals, alleging, among other things, that the trial court erred in denying its motion for a directed verdict as to the Hanhams’ breach of contract claim.</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sidRPr="00334EEE">
        <w:rPr>
          <w:rFonts w:ascii="Times New Roman" w:hAnsi="Times New Roman" w:cs="Times New Roman"/>
          <w:color w:val="000000"/>
          <w:sz w:val="24"/>
          <w:szCs w:val="20"/>
        </w:rPr>
        <w:t xml:space="preserve"> The Court of Appeals agreed and reversed the jury’s judgment as to that claim.</w:t>
      </w:r>
      <w:r w:rsidR="00C1296C">
        <w:rPr>
          <w:rFonts w:ascii="Times New Roman" w:hAnsi="Times New Roman" w:cs="Times New Roman"/>
          <w:color w:val="000000"/>
          <w:sz w:val="24"/>
          <w:szCs w:val="20"/>
        </w:rPr>
        <w:t xml:space="preserve">  </w:t>
      </w:r>
      <w:r w:rsidR="00C1296C">
        <w:rPr>
          <w:rFonts w:ascii="Times New Roman" w:hAnsi="Times New Roman" w:cs="Times New Roman"/>
          <w:i/>
          <w:color w:val="000000"/>
          <w:sz w:val="24"/>
          <w:szCs w:val="20"/>
        </w:rPr>
        <w:t>Id.</w:t>
      </w:r>
    </w:p>
    <w:p w:rsidR="00C1296C" w:rsidRDefault="00C1296C" w:rsidP="00334EEE">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 xml:space="preserve">The Supreme Court granted certiorari to decide if the Court of Appeals erred in reversing the trial court’s denial of Access Management’s motion for a directed verdict as to the Hanhams’ breach of contract claim and concluded that it did.  </w:t>
      </w:r>
      <w:r>
        <w:rPr>
          <w:rFonts w:ascii="Times New Roman" w:hAnsi="Times New Roman" w:cs="Times New Roman"/>
          <w:i/>
          <w:color w:val="000000"/>
          <w:sz w:val="24"/>
          <w:szCs w:val="20"/>
        </w:rPr>
        <w:t>Id.</w:t>
      </w:r>
    </w:p>
    <w:p w:rsidR="00C1296C" w:rsidRDefault="00C1296C" w:rsidP="00334EEE">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0"/>
        </w:rPr>
        <w:tab/>
      </w:r>
      <w:r w:rsidR="00FB75AF">
        <w:rPr>
          <w:rFonts w:ascii="Times New Roman" w:hAnsi="Times New Roman" w:cs="Times New Roman"/>
          <w:color w:val="000000"/>
          <w:sz w:val="24"/>
          <w:szCs w:val="20"/>
        </w:rPr>
        <w:t>“</w:t>
      </w:r>
      <w:r w:rsidR="00FB75AF" w:rsidRPr="00FB75AF">
        <w:rPr>
          <w:rFonts w:ascii="Times New Roman" w:hAnsi="Times New Roman" w:cs="Times New Roman"/>
          <w:color w:val="000000"/>
          <w:sz w:val="24"/>
          <w:szCs w:val="20"/>
        </w:rPr>
        <w:t>The residents of the St. Marlo neighborhood in Forsyth County were governed by a Declaration of Covenants, which authorized the St. Marlo Homeowner’s Association to delegate the management of its affairs to a third party. Based upon that authority, the association hired Access Management as the community management agent for the St. Marlo neighborhood.</w:t>
      </w:r>
      <w:r w:rsidR="00FB75AF">
        <w:rPr>
          <w:rFonts w:ascii="Times New Roman" w:hAnsi="Times New Roman" w:cs="Times New Roman"/>
          <w:color w:val="000000"/>
          <w:sz w:val="24"/>
          <w:szCs w:val="20"/>
        </w:rPr>
        <w:t xml:space="preserve">”  </w:t>
      </w:r>
      <w:r w:rsidR="00FB75AF">
        <w:rPr>
          <w:rFonts w:ascii="Times New Roman" w:hAnsi="Times New Roman" w:cs="Times New Roman"/>
          <w:i/>
          <w:color w:val="000000"/>
          <w:sz w:val="24"/>
          <w:szCs w:val="20"/>
        </w:rPr>
        <w:t>Id.</w:t>
      </w:r>
      <w:r w:rsidR="00FB75AF">
        <w:rPr>
          <w:rFonts w:ascii="Times New Roman" w:hAnsi="Times New Roman" w:cs="Times New Roman"/>
          <w:color w:val="000000"/>
          <w:sz w:val="24"/>
          <w:szCs w:val="20"/>
        </w:rPr>
        <w:t xml:space="preserve"> at 415.  </w:t>
      </w:r>
      <w:r w:rsidR="00FB75AF" w:rsidRPr="00FB75AF">
        <w:rPr>
          <w:rFonts w:ascii="Times New Roman" w:hAnsi="Times New Roman" w:cs="Times New Roman"/>
          <w:color w:val="000000"/>
          <w:sz w:val="24"/>
          <w:szCs w:val="24"/>
        </w:rPr>
        <w:t>The management agreement between Access Management and St. Marlo required that Access Management “[o]perate and maintain the Development according to the highest standards achievable consistent with the overall plan of the association or as directed by the Board of Directors ....” Further, though the management agreement stated that Access Management’s duties were limited to the neighborhood’s common areas, evidence at trial established that Access Management, with the St. Marlo’s knowledge, went outside these responsibilities by managing the homeowner application process for landscaping modifications submitted to the association’s architectural control committee.</w:t>
      </w:r>
      <w:bookmarkStart w:id="26" w:name="co_fnRef_B00012047675486_ID0EQJAE_1"/>
      <w:bookmarkEnd w:id="26"/>
      <w:r w:rsidR="00FB75AF" w:rsidRPr="00FB75AF">
        <w:rPr>
          <w:rFonts w:ascii="Times New Roman" w:hAnsi="Times New Roman" w:cs="Times New Roman"/>
          <w:color w:val="000000"/>
          <w:sz w:val="24"/>
          <w:szCs w:val="24"/>
        </w:rPr>
        <w:t xml:space="preserve"> These expanded responsibilities included collecting project information, reviewing it for compliance with the association’s architectural standards manual, and then forwarding the application to the architectural committee for review and approval.</w:t>
      </w:r>
      <w:r w:rsidR="00FB75AF">
        <w:rPr>
          <w:rFonts w:ascii="Times New Roman" w:hAnsi="Times New Roman" w:cs="Times New Roman"/>
          <w:color w:val="000000"/>
          <w:sz w:val="24"/>
          <w:szCs w:val="24"/>
        </w:rPr>
        <w:t xml:space="preserve">  </w:t>
      </w:r>
      <w:r w:rsidR="00FB75AF">
        <w:rPr>
          <w:rFonts w:ascii="Times New Roman" w:hAnsi="Times New Roman" w:cs="Times New Roman"/>
          <w:i/>
          <w:color w:val="000000"/>
          <w:sz w:val="24"/>
          <w:szCs w:val="24"/>
        </w:rPr>
        <w:t>Id.</w:t>
      </w:r>
    </w:p>
    <w:p w:rsidR="00FB75AF" w:rsidRDefault="00FB75AF" w:rsidP="00334EEE">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4"/>
        </w:rPr>
        <w:tab/>
      </w:r>
      <w:r w:rsidRPr="00FB75AF">
        <w:rPr>
          <w:rFonts w:ascii="Times New Roman" w:hAnsi="Times New Roman" w:cs="Times New Roman"/>
          <w:color w:val="000000"/>
          <w:sz w:val="24"/>
          <w:szCs w:val="20"/>
        </w:rPr>
        <w:t xml:space="preserve">Narchet hired GreenMaster to build a retaining wall, plant trees, and assist with a drainage issue in her backyard. She submitted her application for architectural review to Access Management in July 2012, and, despite the application’s failure to comply with the association’s architectural standards manual, the application was approved, and GreenMaster began the work on Narchet’s property. Shortly after, the Hanhams </w:t>
      </w:r>
      <w:r w:rsidRPr="00FB75AF">
        <w:rPr>
          <w:rFonts w:ascii="Times New Roman" w:hAnsi="Times New Roman" w:cs="Times New Roman"/>
          <w:color w:val="000000"/>
          <w:sz w:val="24"/>
          <w:szCs w:val="20"/>
        </w:rPr>
        <w:lastRenderedPageBreak/>
        <w:t>complained to Access Management that the modifications had channeled a large amount of water onto their property and that the planted trees obstructed their view of the golf course. Eventually, the Hanhams filed suit, alleging that, as third-party beneficiaries, they were injured by Access Management’s breach of its contractual duties under the management agreement.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p>
    <w:p w:rsidR="00FB75AF" w:rsidRDefault="00FB75AF" w:rsidP="00334EEE">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0"/>
        </w:rPr>
        <w:tab/>
        <w:t xml:space="preserve">In reversing the trial court’s </w:t>
      </w:r>
      <w:r w:rsidR="001E3609">
        <w:rPr>
          <w:rFonts w:ascii="Times New Roman" w:hAnsi="Times New Roman" w:cs="Times New Roman"/>
          <w:color w:val="000000"/>
          <w:sz w:val="24"/>
          <w:szCs w:val="20"/>
        </w:rPr>
        <w:t xml:space="preserve">denial of Access Management’s motion for directed verdict as to the Hanhams’ breach of contract claim, the Court of Appeals found that the Hanhams failed to present evidence that Access Management breached the terms of the management agreement.  </w:t>
      </w:r>
      <w:r w:rsidR="001E3609">
        <w:rPr>
          <w:rFonts w:ascii="Times New Roman" w:hAnsi="Times New Roman" w:cs="Times New Roman"/>
          <w:i/>
          <w:color w:val="000000"/>
          <w:sz w:val="24"/>
          <w:szCs w:val="20"/>
        </w:rPr>
        <w:t>Id.</w:t>
      </w:r>
      <w:r w:rsidR="001E3609">
        <w:rPr>
          <w:rFonts w:ascii="Times New Roman" w:hAnsi="Times New Roman" w:cs="Times New Roman"/>
          <w:color w:val="000000"/>
          <w:sz w:val="24"/>
          <w:szCs w:val="20"/>
        </w:rPr>
        <w:t xml:space="preserve"> at 416.  The Court of Appeals held:</w:t>
      </w:r>
    </w:p>
    <w:p w:rsidR="001E3609" w:rsidRDefault="001E3609" w:rsidP="001E3609">
      <w:pPr>
        <w:spacing w:line="360" w:lineRule="auto"/>
        <w:ind w:left="1440"/>
        <w:contextualSpacing/>
        <w:rPr>
          <w:rFonts w:ascii="Times New Roman" w:hAnsi="Times New Roman" w:cs="Times New Roman"/>
          <w:color w:val="000000"/>
          <w:sz w:val="24"/>
          <w:szCs w:val="20"/>
        </w:rPr>
      </w:pPr>
      <w:r w:rsidRPr="001E3609">
        <w:rPr>
          <w:rFonts w:ascii="Times New Roman" w:hAnsi="Times New Roman" w:cs="Times New Roman"/>
          <w:color w:val="000000"/>
          <w:sz w:val="24"/>
          <w:szCs w:val="20"/>
        </w:rPr>
        <w:t xml:space="preserve">Here, it appears the parties mutually agreed by course of conduct to extend the responsibilities of Access Management beyond the scope of the terms provided in the management agreement. It is the deficient performance (or arguably, the non-performance) of these non-contractual responsibilities that provides the only actionable basis for the Hanhams’ claims against Access Management. </w:t>
      </w:r>
      <w:r w:rsidRPr="001E3609">
        <w:rPr>
          <w:rFonts w:ascii="Times New Roman" w:hAnsi="Times New Roman" w:cs="Times New Roman"/>
          <w:i/>
          <w:iCs/>
          <w:color w:val="000000"/>
          <w:sz w:val="24"/>
          <w:szCs w:val="20"/>
        </w:rPr>
        <w:t>Neither this, nor any, breach of contract claim can be founded upon responsibilities not specified in the contract</w:t>
      </w:r>
      <w:r w:rsidRPr="001E3609">
        <w:rPr>
          <w:rFonts w:ascii="Times New Roman" w:hAnsi="Times New Roman" w:cs="Times New Roman"/>
          <w:color w:val="000000"/>
          <w:sz w:val="24"/>
          <w:szCs w:val="20"/>
        </w:rPr>
        <w:t>. Thus, because the contract at issue fails to provide a basis for liability, the trial court should have granted Access Management’s directed verdict on the breach of contract claim.</w:t>
      </w:r>
    </w:p>
    <w:p w:rsidR="00673BEE" w:rsidRDefault="00673BEE" w:rsidP="00673BEE">
      <w:pPr>
        <w:spacing w:line="360" w:lineRule="auto"/>
        <w:contextualSpacing/>
        <w:rPr>
          <w:rFonts w:ascii="Times New Roman" w:hAnsi="Times New Roman" w:cs="Times New Roman"/>
          <w:color w:val="000000"/>
          <w:sz w:val="24"/>
          <w:szCs w:val="20"/>
        </w:rPr>
      </w:pP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(citation omitted)</w:t>
      </w:r>
      <w:r w:rsidR="0011171A">
        <w:rPr>
          <w:rFonts w:ascii="Times New Roman" w:hAnsi="Times New Roman" w:cs="Times New Roman"/>
          <w:color w:val="000000"/>
          <w:sz w:val="24"/>
          <w:szCs w:val="20"/>
        </w:rPr>
        <w:t xml:space="preserve"> (emphasis in original)</w:t>
      </w:r>
      <w:r>
        <w:rPr>
          <w:rFonts w:ascii="Times New Roman" w:hAnsi="Times New Roman" w:cs="Times New Roman"/>
          <w:color w:val="000000"/>
          <w:sz w:val="24"/>
          <w:szCs w:val="20"/>
        </w:rPr>
        <w:t>.</w:t>
      </w:r>
    </w:p>
    <w:p w:rsidR="00673BEE" w:rsidRDefault="00673BEE" w:rsidP="00673BEE">
      <w:pPr>
        <w:spacing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0"/>
        </w:rPr>
        <w:tab/>
      </w:r>
      <w:r w:rsidR="00FE37C1">
        <w:rPr>
          <w:rFonts w:ascii="Times New Roman" w:hAnsi="Times New Roman" w:cs="Times New Roman"/>
          <w:color w:val="000000"/>
          <w:sz w:val="24"/>
          <w:szCs w:val="20"/>
        </w:rPr>
        <w:t>The Supreme Court noted that the “</w:t>
      </w:r>
      <w:r w:rsidR="00FE37C1" w:rsidRPr="00FE37C1">
        <w:rPr>
          <w:rFonts w:ascii="Times New Roman" w:hAnsi="Times New Roman" w:cs="Times New Roman"/>
          <w:color w:val="000000"/>
          <w:sz w:val="24"/>
          <w:szCs w:val="20"/>
        </w:rPr>
        <w:t>terms of a written contract may be modified or changed by a subsequent parol agreement between the parties, where such agreement is founded on sufficient consideration.  Such parol agreements between parties can be evidenced either through the parties’ course of conduct, or through oral modifications.</w:t>
      </w:r>
      <w:r w:rsidR="00FE37C1">
        <w:rPr>
          <w:rFonts w:ascii="Times New Roman" w:hAnsi="Times New Roman" w:cs="Times New Roman"/>
          <w:color w:val="000000"/>
          <w:sz w:val="24"/>
          <w:szCs w:val="20"/>
        </w:rPr>
        <w:t xml:space="preserve">”  </w:t>
      </w:r>
      <w:r w:rsidR="00FE37C1">
        <w:rPr>
          <w:rFonts w:ascii="Times New Roman" w:hAnsi="Times New Roman" w:cs="Times New Roman"/>
          <w:i/>
          <w:color w:val="000000"/>
          <w:sz w:val="24"/>
          <w:szCs w:val="20"/>
        </w:rPr>
        <w:t>Id.</w:t>
      </w:r>
      <w:r w:rsidR="00FE37C1">
        <w:rPr>
          <w:rFonts w:ascii="Times New Roman" w:hAnsi="Times New Roman" w:cs="Times New Roman"/>
          <w:color w:val="000000"/>
          <w:sz w:val="24"/>
          <w:szCs w:val="20"/>
        </w:rPr>
        <w:t xml:space="preserve"> at 417 (citations omitted).  “</w:t>
      </w:r>
      <w:r w:rsidR="00FE37C1" w:rsidRPr="00FE37C1">
        <w:rPr>
          <w:rFonts w:ascii="Times New Roman" w:hAnsi="Times New Roman" w:cs="Times New Roman"/>
          <w:color w:val="000000"/>
          <w:sz w:val="24"/>
          <w:szCs w:val="24"/>
        </w:rPr>
        <w:t>Applicable here is a course of conduct modification. And, contrary to the Court of Appeals’ conclusion, parties may modify a contract through course of conduct, and such modifications are prohibited only where the law or contract</w:t>
      </w:r>
      <w:bookmarkStart w:id="27" w:name="co_fnRef_B00022047675486_ID0EXTAE_1"/>
      <w:bookmarkEnd w:id="27"/>
      <w:r w:rsidR="00FE37C1" w:rsidRPr="00FE37C1">
        <w:rPr>
          <w:rFonts w:ascii="Times New Roman" w:hAnsi="Times New Roman" w:cs="Times New Roman"/>
          <w:color w:val="000000"/>
          <w:sz w:val="24"/>
          <w:szCs w:val="24"/>
        </w:rPr>
        <w:t xml:space="preserve"> specifically states otherwise</w:t>
      </w:r>
      <w:r w:rsidR="00FE37C1">
        <w:rPr>
          <w:rFonts w:ascii="Times New Roman" w:hAnsi="Times New Roman" w:cs="Times New Roman"/>
          <w:color w:val="000000"/>
          <w:sz w:val="24"/>
          <w:szCs w:val="24"/>
        </w:rPr>
        <w:t xml:space="preserve">.”  </w:t>
      </w:r>
      <w:r w:rsidR="00FE37C1">
        <w:rPr>
          <w:rFonts w:ascii="Times New Roman" w:hAnsi="Times New Roman" w:cs="Times New Roman"/>
          <w:i/>
          <w:color w:val="000000"/>
          <w:sz w:val="24"/>
          <w:szCs w:val="24"/>
        </w:rPr>
        <w:t>Id.</w:t>
      </w:r>
    </w:p>
    <w:p w:rsidR="00FE37C1" w:rsidRDefault="00FE37C1" w:rsidP="00673BEE">
      <w:pPr>
        <w:spacing w:line="360" w:lineRule="auto"/>
        <w:contextualSpacing/>
        <w:rPr>
          <w:rFonts w:ascii="Times New Roman" w:hAnsi="Times New Roman" w:cs="Times New Roman"/>
          <w:color w:val="000000"/>
          <w:sz w:val="24"/>
          <w:szCs w:val="20"/>
        </w:rPr>
      </w:pPr>
      <w:r>
        <w:rPr>
          <w:rFonts w:ascii="Times New Roman" w:hAnsi="Times New Roman" w:cs="Times New Roman"/>
          <w:color w:val="000000"/>
          <w:sz w:val="24"/>
          <w:szCs w:val="24"/>
        </w:rPr>
        <w:lastRenderedPageBreak/>
        <w:tab/>
        <w:t>“</w:t>
      </w:r>
      <w:r w:rsidRPr="00FE37C1">
        <w:rPr>
          <w:rFonts w:ascii="Times New Roman" w:hAnsi="Times New Roman" w:cs="Times New Roman"/>
          <w:color w:val="000000"/>
          <w:sz w:val="24"/>
          <w:szCs w:val="24"/>
        </w:rPr>
        <w:t xml:space="preserve">Here, the Court of Appeals’ analysis should have ended with the conclusion that Access Management and St. Marlo </w:t>
      </w:r>
      <w:r>
        <w:rPr>
          <w:rFonts w:ascii="Times New Roman" w:hAnsi="Times New Roman" w:cs="Times New Roman"/>
          <w:color w:val="000000"/>
          <w:sz w:val="24"/>
          <w:szCs w:val="24"/>
        </w:rPr>
        <w:t>‘</w:t>
      </w:r>
      <w:r w:rsidRPr="00FE37C1">
        <w:rPr>
          <w:rFonts w:ascii="Times New Roman" w:hAnsi="Times New Roman" w:cs="Times New Roman"/>
          <w:color w:val="000000"/>
          <w:sz w:val="24"/>
          <w:szCs w:val="24"/>
        </w:rPr>
        <w:t>mutually agreed by course of conduct</w:t>
      </w:r>
      <w:r>
        <w:rPr>
          <w:rFonts w:ascii="Times New Roman" w:hAnsi="Times New Roman" w:cs="Times New Roman"/>
          <w:color w:val="000000"/>
          <w:sz w:val="24"/>
          <w:szCs w:val="24"/>
        </w:rPr>
        <w:t>’</w:t>
      </w:r>
      <w:r w:rsidRPr="00FE37C1">
        <w:rPr>
          <w:rFonts w:ascii="Times New Roman" w:hAnsi="Times New Roman" w:cs="Times New Roman"/>
          <w:color w:val="000000"/>
          <w:sz w:val="24"/>
          <w:szCs w:val="24"/>
        </w:rPr>
        <w:t xml:space="preserve"> to modify the terms of the management agreement, and the modification was not prohibited by the law or the contract itself. Instead, the Court of Appeals erroneously relied upon its own case law concerning the elements of breach of contract – that ‘[a] breach [of contract] occurs if a contracting party ... fails to perform the engagement </w:t>
      </w:r>
      <w:r w:rsidRPr="00FE37C1">
        <w:rPr>
          <w:rFonts w:ascii="Times New Roman" w:hAnsi="Times New Roman" w:cs="Times New Roman"/>
          <w:i/>
          <w:iCs/>
          <w:color w:val="000000"/>
          <w:sz w:val="24"/>
          <w:szCs w:val="24"/>
        </w:rPr>
        <w:t>as specified in the contract</w:t>
      </w:r>
      <w:r w:rsidRPr="00FE37C1">
        <w:rPr>
          <w:rFonts w:ascii="Times New Roman" w:hAnsi="Times New Roman" w:cs="Times New Roman"/>
          <w:color w:val="000000"/>
          <w:sz w:val="24"/>
          <w:szCs w:val="24"/>
        </w:rPr>
        <w:t xml:space="preserve">’  – to effectively hold that no breach of contract could ever be founded where the responsibilities were not specified in the </w:t>
      </w:r>
      <w:r w:rsidRPr="00FE37C1">
        <w:rPr>
          <w:rFonts w:ascii="Times New Roman" w:hAnsi="Times New Roman" w:cs="Times New Roman"/>
          <w:i/>
          <w:iCs/>
          <w:color w:val="000000"/>
          <w:sz w:val="24"/>
          <w:szCs w:val="24"/>
        </w:rPr>
        <w:t>written</w:t>
      </w:r>
      <w:r w:rsidRPr="00FE37C1">
        <w:rPr>
          <w:rFonts w:ascii="Times New Roman" w:hAnsi="Times New Roman" w:cs="Times New Roman"/>
          <w:color w:val="000000"/>
          <w:sz w:val="24"/>
          <w:szCs w:val="24"/>
        </w:rPr>
        <w:t xml:space="preserve"> contract, notwithstanding </w:t>
      </w:r>
      <w:bookmarkStart w:id="28" w:name="co_pp_sp_359_418_1"/>
      <w:bookmarkEnd w:id="28"/>
      <w:r w:rsidRPr="00FE37C1">
        <w:rPr>
          <w:rFonts w:ascii="Times New Roman" w:hAnsi="Times New Roman" w:cs="Times New Roman"/>
          <w:color w:val="000000"/>
          <w:sz w:val="24"/>
          <w:szCs w:val="24"/>
        </w:rPr>
        <w:t>course of conduct modifications of that contract.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r>
        <w:rPr>
          <w:rFonts w:ascii="Times New Roman" w:hAnsi="Times New Roman" w:cs="Times New Roman"/>
          <w:color w:val="000000"/>
          <w:sz w:val="24"/>
          <w:szCs w:val="24"/>
        </w:rPr>
        <w:t xml:space="preserve"> at 417-18</w:t>
      </w:r>
      <w:r w:rsidR="00EF3EF9">
        <w:rPr>
          <w:rFonts w:ascii="Times New Roman" w:hAnsi="Times New Roman" w:cs="Times New Roman"/>
          <w:color w:val="000000"/>
          <w:sz w:val="24"/>
          <w:szCs w:val="24"/>
        </w:rPr>
        <w:t xml:space="preserve"> (citations omitted).  “</w:t>
      </w:r>
      <w:r w:rsidR="00EF3EF9" w:rsidRPr="00EF3EF9">
        <w:rPr>
          <w:rFonts w:ascii="Times New Roman" w:hAnsi="Times New Roman" w:cs="Times New Roman"/>
          <w:color w:val="000000"/>
          <w:sz w:val="24"/>
          <w:szCs w:val="20"/>
        </w:rPr>
        <w:t>In other words, the Court of Appeals read its own case law to effectively prohibit course of conduct modifications. However, such a prohibition is only applicable in specific situations, such as those involving a written contract between private parties and the State, which is subject to the constitutional provisions of sovereign immunity</w:t>
      </w:r>
      <w:r w:rsidR="00EF3EF9">
        <w:rPr>
          <w:rFonts w:ascii="Times New Roman" w:hAnsi="Times New Roman" w:cs="Times New Roman"/>
          <w:color w:val="000000"/>
          <w:sz w:val="24"/>
          <w:szCs w:val="20"/>
        </w:rPr>
        <w:t xml:space="preserve">.”  </w:t>
      </w:r>
      <w:r w:rsidR="00EF3EF9">
        <w:rPr>
          <w:rFonts w:ascii="Times New Roman" w:hAnsi="Times New Roman" w:cs="Times New Roman"/>
          <w:i/>
          <w:color w:val="000000"/>
          <w:sz w:val="24"/>
          <w:szCs w:val="20"/>
        </w:rPr>
        <w:t>Id.</w:t>
      </w:r>
      <w:r w:rsidR="00EF3EF9">
        <w:rPr>
          <w:rFonts w:ascii="Times New Roman" w:hAnsi="Times New Roman" w:cs="Times New Roman"/>
          <w:color w:val="000000"/>
          <w:sz w:val="24"/>
          <w:szCs w:val="20"/>
        </w:rPr>
        <w:t xml:space="preserve"> at 418 (citations omitted).  The “</w:t>
      </w:r>
      <w:r w:rsidR="00EF3EF9" w:rsidRPr="00EF3EF9">
        <w:rPr>
          <w:rFonts w:ascii="Times New Roman" w:hAnsi="Times New Roman" w:cs="Times New Roman"/>
          <w:color w:val="000000"/>
          <w:sz w:val="24"/>
          <w:szCs w:val="20"/>
        </w:rPr>
        <w:t>Court of Appeals’ legal analysis was in error and, as such, must be reversed. Moreover, to the extent that this analysis has been employed by the Court of Appeals to support the conclusion that private parties may never modify a written contract through their course of conduct, we disapprove.</w:t>
      </w:r>
      <w:r w:rsidR="00EF3EF9">
        <w:rPr>
          <w:rFonts w:ascii="Times New Roman" w:hAnsi="Times New Roman" w:cs="Times New Roman"/>
          <w:color w:val="000000"/>
          <w:sz w:val="24"/>
          <w:szCs w:val="20"/>
        </w:rPr>
        <w:t xml:space="preserve">”  </w:t>
      </w:r>
      <w:r w:rsidR="00EF3EF9">
        <w:rPr>
          <w:rFonts w:ascii="Times New Roman" w:hAnsi="Times New Roman" w:cs="Times New Roman"/>
          <w:i/>
          <w:color w:val="000000"/>
          <w:sz w:val="24"/>
          <w:szCs w:val="20"/>
        </w:rPr>
        <w:t>Id.</w:t>
      </w:r>
      <w:r w:rsidR="00EF3EF9">
        <w:rPr>
          <w:rFonts w:ascii="Times New Roman" w:hAnsi="Times New Roman" w:cs="Times New Roman"/>
          <w:color w:val="000000"/>
          <w:sz w:val="24"/>
          <w:szCs w:val="20"/>
        </w:rPr>
        <w:t xml:space="preserve"> (citing cases).</w:t>
      </w:r>
    </w:p>
    <w:p w:rsidR="00EF3EF9" w:rsidRPr="00EF3EF9" w:rsidRDefault="00EF3EF9" w:rsidP="00673BEE">
      <w:pPr>
        <w:spacing w:line="360" w:lineRule="auto"/>
        <w:contextualSpacing/>
        <w:rPr>
          <w:sz w:val="24"/>
          <w:szCs w:val="24"/>
        </w:rPr>
      </w:pPr>
      <w:r>
        <w:rPr>
          <w:rFonts w:ascii="Times New Roman" w:hAnsi="Times New Roman" w:cs="Times New Roman"/>
          <w:color w:val="000000"/>
          <w:sz w:val="24"/>
          <w:szCs w:val="20"/>
        </w:rPr>
        <w:tab/>
      </w:r>
      <w:r w:rsidRPr="00EF3EF9">
        <w:rPr>
          <w:rFonts w:ascii="Times New Roman" w:hAnsi="Times New Roman" w:cs="Times New Roman"/>
          <w:color w:val="000000"/>
          <w:sz w:val="24"/>
          <w:szCs w:val="20"/>
        </w:rPr>
        <w:t xml:space="preserve">In its opinion, the Court of Appeals determined that “the parties mutually agreed by course of conduct to extend the responsibilities of Access Management beyond the scope of the terms </w:t>
      </w:r>
      <w:bookmarkStart w:id="29" w:name="co_pp_sp_359_419_1"/>
      <w:bookmarkEnd w:id="29"/>
      <w:r w:rsidRPr="00EF3EF9">
        <w:rPr>
          <w:rFonts w:ascii="Times New Roman" w:hAnsi="Times New Roman" w:cs="Times New Roman"/>
          <w:color w:val="000000"/>
          <w:sz w:val="24"/>
          <w:szCs w:val="20"/>
        </w:rPr>
        <w:t>provided in the management agreement.”</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418-19.  While the Supreme Court’s </w:t>
      </w:r>
      <w:r w:rsidRPr="00EF3EF9">
        <w:rPr>
          <w:rFonts w:ascii="Times New Roman" w:hAnsi="Times New Roman" w:cs="Times New Roman"/>
          <w:color w:val="000000"/>
          <w:sz w:val="24"/>
          <w:szCs w:val="20"/>
        </w:rPr>
        <w:t>review of the record show</w:t>
      </w:r>
      <w:r>
        <w:rPr>
          <w:rFonts w:ascii="Times New Roman" w:hAnsi="Times New Roman" w:cs="Times New Roman"/>
          <w:color w:val="000000"/>
          <w:sz w:val="24"/>
          <w:szCs w:val="20"/>
        </w:rPr>
        <w:t>ed</w:t>
      </w:r>
      <w:r w:rsidRPr="00EF3EF9">
        <w:rPr>
          <w:rFonts w:ascii="Times New Roman" w:hAnsi="Times New Roman" w:cs="Times New Roman"/>
          <w:color w:val="000000"/>
          <w:sz w:val="24"/>
          <w:szCs w:val="20"/>
        </w:rPr>
        <w:t xml:space="preserve"> that testimony and exhibits presented at trial purporting to show the parties’ modification of the contract </w:t>
      </w:r>
      <w:r>
        <w:rPr>
          <w:rFonts w:ascii="Times New Roman" w:hAnsi="Times New Roman" w:cs="Times New Roman"/>
          <w:color w:val="000000"/>
          <w:sz w:val="24"/>
          <w:szCs w:val="20"/>
        </w:rPr>
        <w:t>were</w:t>
      </w:r>
      <w:r w:rsidRPr="00EF3EF9">
        <w:rPr>
          <w:rFonts w:ascii="Times New Roman" w:hAnsi="Times New Roman" w:cs="Times New Roman"/>
          <w:color w:val="000000"/>
          <w:sz w:val="24"/>
          <w:szCs w:val="20"/>
        </w:rPr>
        <w:t xml:space="preserve"> not overwhelming, there was evidence presented to support the jury’s verdict in favor of the Hanhams’ breach of contract claim regarding modifications to their duties under the management agreement, and </w:t>
      </w:r>
      <w:r>
        <w:rPr>
          <w:rFonts w:ascii="Times New Roman" w:hAnsi="Times New Roman" w:cs="Times New Roman"/>
          <w:color w:val="000000"/>
          <w:sz w:val="24"/>
          <w:szCs w:val="20"/>
        </w:rPr>
        <w:t xml:space="preserve">the </w:t>
      </w:r>
      <w:r w:rsidR="0011171A">
        <w:rPr>
          <w:rFonts w:ascii="Times New Roman" w:hAnsi="Times New Roman" w:cs="Times New Roman"/>
          <w:color w:val="000000"/>
          <w:sz w:val="24"/>
          <w:szCs w:val="20"/>
        </w:rPr>
        <w:t xml:space="preserve">Supreme </w:t>
      </w:r>
      <w:r>
        <w:rPr>
          <w:rFonts w:ascii="Times New Roman" w:hAnsi="Times New Roman" w:cs="Times New Roman"/>
          <w:color w:val="000000"/>
          <w:sz w:val="24"/>
          <w:szCs w:val="20"/>
        </w:rPr>
        <w:t>Court</w:t>
      </w:r>
      <w:r w:rsidRPr="00EF3EF9">
        <w:rPr>
          <w:rFonts w:ascii="Times New Roman" w:hAnsi="Times New Roman" w:cs="Times New Roman"/>
          <w:color w:val="000000"/>
          <w:sz w:val="24"/>
          <w:szCs w:val="20"/>
        </w:rPr>
        <w:t xml:space="preserve"> thus reverse</w:t>
      </w:r>
      <w:r>
        <w:rPr>
          <w:rFonts w:ascii="Times New Roman" w:hAnsi="Times New Roman" w:cs="Times New Roman"/>
          <w:color w:val="000000"/>
          <w:sz w:val="24"/>
          <w:szCs w:val="20"/>
        </w:rPr>
        <w:t>d</w:t>
      </w:r>
      <w:r w:rsidRPr="00EF3EF9">
        <w:rPr>
          <w:rFonts w:ascii="Times New Roman" w:hAnsi="Times New Roman" w:cs="Times New Roman"/>
          <w:color w:val="000000"/>
          <w:sz w:val="24"/>
          <w:szCs w:val="20"/>
        </w:rPr>
        <w:t xml:space="preserve"> the Court of Appeals’ holding.</w:t>
      </w:r>
      <w:r>
        <w:rPr>
          <w:rFonts w:ascii="Times New Roman" w:hAnsi="Times New Roman" w:cs="Times New Roman"/>
          <w:color w:val="000000"/>
          <w:sz w:val="24"/>
          <w:szCs w:val="20"/>
        </w:rPr>
        <w:t xml:space="preserve">  </w:t>
      </w:r>
      <w:r>
        <w:rPr>
          <w:rFonts w:ascii="Times New Roman" w:hAnsi="Times New Roman" w:cs="Times New Roman"/>
          <w:i/>
          <w:color w:val="000000"/>
          <w:sz w:val="24"/>
          <w:szCs w:val="20"/>
        </w:rPr>
        <w:t>Id.</w:t>
      </w:r>
      <w:r>
        <w:rPr>
          <w:rFonts w:ascii="Times New Roman" w:hAnsi="Times New Roman" w:cs="Times New Roman"/>
          <w:color w:val="000000"/>
          <w:sz w:val="24"/>
          <w:szCs w:val="20"/>
        </w:rPr>
        <w:t xml:space="preserve"> at 419.</w:t>
      </w:r>
      <w:bookmarkStart w:id="30" w:name="_GoBack"/>
      <w:bookmarkEnd w:id="30"/>
    </w:p>
    <w:sectPr w:rsidR="00EF3EF9" w:rsidRPr="00EF3EF9" w:rsidSect="00A83221">
      <w:headerReference w:type="even" r:id="rId6"/>
      <w:headerReference w:type="default" r:id="rId7"/>
      <w:footerReference w:type="even" r:id="rId8"/>
      <w:footerReference w:type="default" r:id="rId9"/>
      <w:headerReference w:type="first" r:id="rId10"/>
      <w:footerReference w:type="first" r:id="rId11"/>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AC" w:rsidRDefault="007474AC" w:rsidP="007474AC">
      <w:pPr>
        <w:spacing w:after="0" w:line="240" w:lineRule="auto"/>
      </w:pPr>
      <w:r>
        <w:separator/>
      </w:r>
    </w:p>
  </w:endnote>
  <w:endnote w:type="continuationSeparator" w:id="0">
    <w:p w:rsidR="007474AC" w:rsidRDefault="007474AC" w:rsidP="0074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Default="00DD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Pr="00DD0D46" w:rsidRDefault="0011171A" w:rsidP="00DD0D46">
    <w:pPr>
      <w:pStyle w:val="Footer"/>
    </w:pPr>
    <w:r w:rsidRPr="0011171A">
      <w:rPr>
        <w:noProof/>
        <w:sz w:val="16"/>
      </w:rPr>
      <w:t>{00428243.DOCX /2 }</w:t>
    </w:r>
    <w:r w:rsidR="00DD0D46">
      <w:tab/>
    </w:r>
    <w:sdt>
      <w:sdtPr>
        <w:id w:val="-1816412547"/>
        <w:docPartObj>
          <w:docPartGallery w:val="Page Numbers (Bottom of Page)"/>
          <w:docPartUnique/>
        </w:docPartObj>
      </w:sdtPr>
      <w:sdtEndPr>
        <w:rPr>
          <w:noProof/>
        </w:rPr>
      </w:sdtEndPr>
      <w:sdtContent>
        <w:r w:rsidR="00DD0D46" w:rsidRPr="00DD0D46">
          <w:fldChar w:fldCharType="begin"/>
        </w:r>
        <w:r w:rsidR="00DD0D46" w:rsidRPr="00DD0D46">
          <w:instrText xml:space="preserve"> PAGE   \* MERGEFORMAT </w:instrText>
        </w:r>
        <w:r w:rsidR="00DD0D46" w:rsidRPr="00DD0D46">
          <w:fldChar w:fldCharType="separate"/>
        </w:r>
        <w:r>
          <w:rPr>
            <w:noProof/>
          </w:rPr>
          <w:t>40</w:t>
        </w:r>
        <w:r w:rsidR="00DD0D46" w:rsidRPr="00DD0D46">
          <w:rPr>
            <w:noProof/>
          </w:rPr>
          <w:fldChar w:fldCharType="end"/>
        </w:r>
      </w:sdtContent>
    </w:sdt>
  </w:p>
  <w:p w:rsidR="007474AC" w:rsidRPr="00DD0D46" w:rsidRDefault="007474AC" w:rsidP="0074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Default="00DD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AC" w:rsidRDefault="007474AC" w:rsidP="007474AC">
      <w:pPr>
        <w:spacing w:after="0" w:line="240" w:lineRule="auto"/>
        <w:rPr>
          <w:noProof/>
        </w:rPr>
      </w:pPr>
      <w:r>
        <w:rPr>
          <w:noProof/>
        </w:rPr>
        <w:separator/>
      </w:r>
    </w:p>
  </w:footnote>
  <w:footnote w:type="continuationSeparator" w:id="0">
    <w:p w:rsidR="007474AC" w:rsidRDefault="007474AC" w:rsidP="007474AC">
      <w:pPr>
        <w:spacing w:after="0" w:line="240" w:lineRule="auto"/>
      </w:pPr>
      <w:r>
        <w:continuationSeparator/>
      </w:r>
    </w:p>
  </w:footnote>
  <w:footnote w:id="1">
    <w:p w:rsidR="0039041B" w:rsidRPr="005C2BDC" w:rsidRDefault="0039041B" w:rsidP="00CD76CC">
      <w:pPr>
        <w:pStyle w:val="FootnoteText"/>
        <w:spacing w:line="360" w:lineRule="auto"/>
        <w:rPr>
          <w:rFonts w:ascii="Times New Roman" w:hAnsi="Times New Roman" w:cs="Times New Roman"/>
          <w:sz w:val="24"/>
          <w:szCs w:val="24"/>
        </w:rPr>
      </w:pPr>
      <w:r w:rsidRPr="00CD76CC">
        <w:rPr>
          <w:rStyle w:val="FootnoteReference"/>
          <w:rFonts w:ascii="Times New Roman" w:hAnsi="Times New Roman" w:cs="Times New Roman"/>
          <w:sz w:val="24"/>
          <w:szCs w:val="24"/>
        </w:rPr>
        <w:footnoteRef/>
      </w:r>
      <w:r w:rsidRPr="00CD76CC">
        <w:rPr>
          <w:rFonts w:ascii="Times New Roman" w:hAnsi="Times New Roman" w:cs="Times New Roman"/>
          <w:sz w:val="24"/>
          <w:szCs w:val="24"/>
        </w:rPr>
        <w:t xml:space="preserve"> However, parties can agree to give arbitrators the ability to rule on these issues as well.  </w:t>
      </w:r>
      <w:r w:rsidRPr="00CD76CC">
        <w:rPr>
          <w:rFonts w:ascii="Times New Roman" w:hAnsi="Times New Roman" w:cs="Times New Roman"/>
          <w:i/>
          <w:sz w:val="24"/>
          <w:szCs w:val="24"/>
        </w:rPr>
        <w:t>See</w:t>
      </w:r>
      <w:r w:rsidRPr="00CD76CC">
        <w:rPr>
          <w:rFonts w:ascii="Times New Roman" w:hAnsi="Times New Roman" w:cs="Times New Roman"/>
          <w:sz w:val="24"/>
          <w:szCs w:val="24"/>
        </w:rPr>
        <w:t xml:space="preserve"> </w:t>
      </w:r>
      <w:r w:rsidRPr="00CD76CC">
        <w:rPr>
          <w:rFonts w:ascii="Times New Roman" w:hAnsi="Times New Roman" w:cs="Times New Roman"/>
          <w:i/>
          <w:sz w:val="24"/>
          <w:szCs w:val="24"/>
        </w:rPr>
        <w:t>Parnell v. CashCall, Inc.</w:t>
      </w:r>
      <w:r w:rsidRPr="00CD76CC">
        <w:rPr>
          <w:rFonts w:ascii="Times New Roman" w:hAnsi="Times New Roman" w:cs="Times New Roman"/>
          <w:sz w:val="24"/>
          <w:szCs w:val="24"/>
        </w:rPr>
        <w:t>, 804 F.3d 1142, 1146 (11th Cir. 2015) (“[P]arties may agree to commit even threshold determinations to an arbitrator, such as whether an arbitration agreement is enforceable.”).</w:t>
      </w:r>
      <w:r w:rsidR="006E0994" w:rsidRPr="00CD76CC">
        <w:rPr>
          <w:rFonts w:ascii="Times New Roman" w:hAnsi="Times New Roman" w:cs="Times New Roman"/>
          <w:sz w:val="24"/>
          <w:szCs w:val="24"/>
        </w:rPr>
        <w:t xml:space="preserve">  For example, when parties incorporate the rules of the American Arbitration Association into their contract, they “clearly and unmistakably agree that the arbitrator should decide whether the arbitration clause applies.”  </w:t>
      </w:r>
      <w:r w:rsidR="006E0994" w:rsidRPr="00CD76CC">
        <w:rPr>
          <w:rFonts w:ascii="Times New Roman" w:hAnsi="Times New Roman" w:cs="Times New Roman"/>
          <w:i/>
          <w:sz w:val="24"/>
          <w:szCs w:val="24"/>
        </w:rPr>
        <w:t>U.S. Nutraceuticals, LLC v. Cyanotech Corp.</w:t>
      </w:r>
      <w:r w:rsidR="006E0994" w:rsidRPr="00CD76CC">
        <w:rPr>
          <w:rFonts w:ascii="Times New Roman" w:hAnsi="Times New Roman" w:cs="Times New Roman"/>
          <w:sz w:val="24"/>
          <w:szCs w:val="24"/>
        </w:rPr>
        <w:t>, 769 F.3d 1308, 1311 (11th Cir. 2014) (citation and internal punctuation omitted).</w:t>
      </w:r>
      <w:r w:rsidR="005C2BDC">
        <w:rPr>
          <w:rFonts w:ascii="Times New Roman" w:hAnsi="Times New Roman" w:cs="Times New Roman"/>
          <w:sz w:val="24"/>
          <w:szCs w:val="24"/>
        </w:rPr>
        <w:t xml:space="preserve">  </w:t>
      </w:r>
      <w:r w:rsidR="005C2BDC">
        <w:rPr>
          <w:rFonts w:ascii="Times New Roman" w:hAnsi="Times New Roman" w:cs="Times New Roman"/>
          <w:i/>
          <w:sz w:val="24"/>
          <w:szCs w:val="24"/>
        </w:rPr>
        <w:t>See also JPay, Inc. v. Kobel</w:t>
      </w:r>
      <w:r w:rsidR="005C2BDC">
        <w:rPr>
          <w:rFonts w:ascii="Times New Roman" w:hAnsi="Times New Roman" w:cs="Times New Roman"/>
          <w:sz w:val="24"/>
          <w:szCs w:val="24"/>
        </w:rPr>
        <w:t>, 904 F.3d 923, 938 (11th Cir. 2018) (holding that a party need not have consented to rules specifically contemplating arbitral class action proceedings in to order to have delegated the question of class availability to the arbitrator via incorporation of AAA rules).</w:t>
      </w:r>
    </w:p>
  </w:footnote>
  <w:footnote w:id="2">
    <w:p w:rsidR="00CD76CC" w:rsidRPr="007907FB" w:rsidRDefault="00CD76CC" w:rsidP="00CD76CC">
      <w:pPr>
        <w:pStyle w:val="FootnoteText"/>
        <w:spacing w:line="360" w:lineRule="auto"/>
        <w:rPr>
          <w:rFonts w:ascii="Times New Roman" w:hAnsi="Times New Roman" w:cs="Times New Roman"/>
          <w:sz w:val="24"/>
          <w:szCs w:val="24"/>
        </w:rPr>
      </w:pPr>
      <w:r w:rsidRPr="00CD76CC">
        <w:rPr>
          <w:rStyle w:val="FootnoteReference"/>
          <w:rFonts w:ascii="Times New Roman" w:hAnsi="Times New Roman" w:cs="Times New Roman"/>
          <w:sz w:val="24"/>
          <w:szCs w:val="24"/>
        </w:rPr>
        <w:footnoteRef/>
      </w:r>
      <w:r w:rsidRPr="00CD76CC">
        <w:rPr>
          <w:rFonts w:ascii="Times New Roman" w:hAnsi="Times New Roman" w:cs="Times New Roman"/>
          <w:sz w:val="24"/>
          <w:szCs w:val="24"/>
        </w:rPr>
        <w:t xml:space="preserve"> An arbitration award may be vacated: (1) where the award was procured by corruption, fraud, or undue means; (2) where there was evident partiality or corruption in the arbitrators; (3) where the arbitrators were guilty </w:t>
      </w:r>
      <w:r w:rsidRPr="00CD76CC">
        <w:rPr>
          <w:rFonts w:ascii="Times New Roman" w:hAnsi="Times New Roman" w:cs="Times New Roman"/>
          <w:color w:val="212121"/>
          <w:sz w:val="24"/>
          <w:szCs w:val="24"/>
        </w:rPr>
        <w:t>of misconduct in refusing to postpone the hearing, upon sufficient cause shown, or in refusing to hear evidence pertinent and material to the controversy; or of any other misbehavior by which the rights of any party have been prejudiced; or (4) where the arbitrators exceeded their powers, or so imperfectly executed them that a mutual, final, and definite award upon the subject matter submitted was not made.</w:t>
      </w:r>
      <w:r>
        <w:rPr>
          <w:rFonts w:ascii="Times New Roman" w:hAnsi="Times New Roman" w:cs="Times New Roman"/>
          <w:color w:val="212121"/>
          <w:sz w:val="24"/>
          <w:szCs w:val="24"/>
        </w:rPr>
        <w:t xml:space="preserve">  9 U.S.C. § 10(a).</w:t>
      </w:r>
      <w:r w:rsidR="007907FB">
        <w:rPr>
          <w:rFonts w:ascii="Times New Roman" w:hAnsi="Times New Roman" w:cs="Times New Roman"/>
          <w:color w:val="212121"/>
          <w:sz w:val="24"/>
          <w:szCs w:val="24"/>
        </w:rPr>
        <w:t xml:space="preserve">  Manifest disregard of the law is not an available basis for vacating an arbitration award in the Eleventh Circuit.  </w:t>
      </w:r>
      <w:r w:rsidR="007907FB" w:rsidRPr="007907FB">
        <w:rPr>
          <w:rFonts w:ascii="Times New Roman" w:hAnsi="Times New Roman"/>
          <w:i/>
          <w:sz w:val="24"/>
          <w:szCs w:val="24"/>
        </w:rPr>
        <w:t>Frazier v. CitiFinancial Corp.</w:t>
      </w:r>
      <w:r w:rsidR="007907FB" w:rsidRPr="007907FB">
        <w:rPr>
          <w:rFonts w:ascii="Times New Roman" w:hAnsi="Times New Roman"/>
          <w:sz w:val="24"/>
          <w:szCs w:val="24"/>
        </w:rPr>
        <w:t>, 604 F.3d 1313, 1324 (11th Cir. 2010).</w:t>
      </w:r>
      <w:r w:rsidR="007907FB">
        <w:rPr>
          <w:rFonts w:ascii="Times New Roman" w:hAnsi="Times New Roman"/>
          <w:sz w:val="24"/>
          <w:szCs w:val="24"/>
        </w:rPr>
        <w:t xml:space="preserve">  Manifest disregard of the law is an available ground for vacatur under the Georgia Arbitration Act, </w:t>
      </w:r>
      <w:r w:rsidR="007907FB">
        <w:rPr>
          <w:rFonts w:ascii="Times New Roman" w:hAnsi="Times New Roman"/>
          <w:i/>
          <w:sz w:val="24"/>
          <w:szCs w:val="24"/>
        </w:rPr>
        <w:t>see</w:t>
      </w:r>
      <w:r w:rsidR="007907FB">
        <w:rPr>
          <w:rFonts w:ascii="Times New Roman" w:hAnsi="Times New Roman"/>
          <w:sz w:val="24"/>
          <w:szCs w:val="24"/>
        </w:rPr>
        <w:t xml:space="preserve"> O.C.G.A. § 9-9-13(b)(5), but it is very difficult to establish.  </w:t>
      </w:r>
      <w:r w:rsidR="007907FB">
        <w:rPr>
          <w:rFonts w:ascii="Times New Roman" w:hAnsi="Times New Roman"/>
          <w:i/>
          <w:sz w:val="24"/>
          <w:szCs w:val="24"/>
        </w:rPr>
        <w:t>See ABCO Builders, Inc. v. Progressive P</w:t>
      </w:r>
      <w:r w:rsidR="00426056">
        <w:rPr>
          <w:rFonts w:ascii="Times New Roman" w:hAnsi="Times New Roman"/>
          <w:i/>
          <w:sz w:val="24"/>
          <w:szCs w:val="24"/>
        </w:rPr>
        <w:t>l</w:t>
      </w:r>
      <w:r w:rsidR="007907FB">
        <w:rPr>
          <w:rFonts w:ascii="Times New Roman" w:hAnsi="Times New Roman"/>
          <w:i/>
          <w:sz w:val="24"/>
          <w:szCs w:val="24"/>
        </w:rPr>
        <w:t>umbing, Inc.</w:t>
      </w:r>
      <w:r w:rsidR="007907FB">
        <w:rPr>
          <w:rFonts w:ascii="Times New Roman" w:hAnsi="Times New Roman"/>
          <w:sz w:val="24"/>
          <w:szCs w:val="24"/>
        </w:rPr>
        <w:t>, 282 Ga. 308, 309 (200</w:t>
      </w:r>
      <w:r w:rsidR="00426056">
        <w:rPr>
          <w:rFonts w:ascii="Times New Roman" w:hAnsi="Times New Roman"/>
          <w:sz w:val="24"/>
          <w:szCs w:val="24"/>
        </w:rPr>
        <w:t>7</w:t>
      </w:r>
      <w:r w:rsidR="007907FB">
        <w:rPr>
          <w:rFonts w:ascii="Times New Roman" w:hAnsi="Times New Roman"/>
          <w:sz w:val="24"/>
          <w:szCs w:val="24"/>
        </w:rPr>
        <w:t xml:space="preserve">) </w:t>
      </w:r>
      <w:r w:rsidR="00426056">
        <w:rPr>
          <w:rFonts w:ascii="Times New Roman" w:hAnsi="Times New Roman"/>
          <w:sz w:val="24"/>
          <w:szCs w:val="24"/>
        </w:rPr>
        <w:t>(holding that</w:t>
      </w:r>
      <w:r w:rsidR="007907FB">
        <w:rPr>
          <w:rFonts w:ascii="Times New Roman" w:hAnsi="Times New Roman"/>
          <w:sz w:val="24"/>
          <w:szCs w:val="24"/>
        </w:rPr>
        <w:t xml:space="preserve"> </w:t>
      </w:r>
      <w:r w:rsidR="00426056">
        <w:rPr>
          <w:rFonts w:ascii="Times New Roman" w:hAnsi="Times New Roman"/>
          <w:sz w:val="24"/>
          <w:szCs w:val="24"/>
        </w:rPr>
        <w:t>t</w:t>
      </w:r>
      <w:r w:rsidR="007907FB">
        <w:rPr>
          <w:rFonts w:ascii="Times New Roman" w:hAnsi="Times New Roman"/>
          <w:sz w:val="24"/>
          <w:szCs w:val="24"/>
        </w:rPr>
        <w:t xml:space="preserve">o </w:t>
      </w:r>
      <w:r w:rsidR="007907FB" w:rsidRPr="007907FB">
        <w:rPr>
          <w:rFonts w:ascii="Times New Roman" w:hAnsi="Times New Roman" w:cs="Times New Roman"/>
          <w:sz w:val="24"/>
          <w:szCs w:val="24"/>
        </w:rPr>
        <w:t>“</w:t>
      </w:r>
      <w:r w:rsidR="007907FB" w:rsidRPr="007907FB">
        <w:rPr>
          <w:rFonts w:ascii="Times New Roman" w:hAnsi="Times New Roman" w:cs="Times New Roman"/>
          <w:color w:val="212121"/>
          <w:sz w:val="24"/>
          <w:szCs w:val="24"/>
        </w:rPr>
        <w:t>prove that a </w:t>
      </w:r>
      <w:r w:rsidR="007907FB" w:rsidRPr="007907FB">
        <w:rPr>
          <w:rStyle w:val="cosearchterm"/>
          <w:rFonts w:ascii="Times New Roman" w:hAnsi="Times New Roman" w:cs="Times New Roman"/>
          <w:bCs/>
          <w:color w:val="252525"/>
          <w:sz w:val="24"/>
          <w:szCs w:val="24"/>
        </w:rPr>
        <w:t>manifest</w:t>
      </w:r>
      <w:r w:rsidR="007907FB" w:rsidRPr="007907FB">
        <w:rPr>
          <w:rFonts w:ascii="Times New Roman" w:hAnsi="Times New Roman" w:cs="Times New Roman"/>
          <w:color w:val="212121"/>
          <w:sz w:val="24"/>
          <w:szCs w:val="24"/>
        </w:rPr>
        <w:t> </w:t>
      </w:r>
      <w:r w:rsidR="007907FB" w:rsidRPr="007907FB">
        <w:rPr>
          <w:rStyle w:val="cosearchterm"/>
          <w:rFonts w:ascii="Times New Roman" w:hAnsi="Times New Roman" w:cs="Times New Roman"/>
          <w:bCs/>
          <w:color w:val="252525"/>
          <w:sz w:val="24"/>
          <w:szCs w:val="24"/>
        </w:rPr>
        <w:t>disregard</w:t>
      </w:r>
      <w:r w:rsidR="007907FB" w:rsidRPr="007907FB">
        <w:rPr>
          <w:rFonts w:ascii="Times New Roman" w:hAnsi="Times New Roman" w:cs="Times New Roman"/>
          <w:color w:val="212121"/>
          <w:sz w:val="24"/>
          <w:szCs w:val="24"/>
        </w:rPr>
        <w:t> of the </w:t>
      </w:r>
      <w:r w:rsidR="007907FB" w:rsidRPr="007907FB">
        <w:rPr>
          <w:rStyle w:val="cosearchterm"/>
          <w:rFonts w:ascii="Times New Roman" w:hAnsi="Times New Roman" w:cs="Times New Roman"/>
          <w:bCs/>
          <w:color w:val="252525"/>
          <w:sz w:val="24"/>
          <w:szCs w:val="24"/>
        </w:rPr>
        <w:t>law</w:t>
      </w:r>
      <w:r w:rsidR="007907FB" w:rsidRPr="007907FB">
        <w:rPr>
          <w:rFonts w:ascii="Times New Roman" w:hAnsi="Times New Roman" w:cs="Times New Roman"/>
          <w:color w:val="212121"/>
          <w:sz w:val="24"/>
          <w:szCs w:val="24"/>
        </w:rPr>
        <w:t> has occurred, a party wishing to have an </w:t>
      </w:r>
      <w:r w:rsidR="007907FB" w:rsidRPr="007907FB">
        <w:rPr>
          <w:rStyle w:val="cosearchterm"/>
          <w:rFonts w:ascii="Times New Roman" w:hAnsi="Times New Roman" w:cs="Times New Roman"/>
          <w:bCs/>
          <w:color w:val="252525"/>
          <w:sz w:val="24"/>
          <w:szCs w:val="24"/>
        </w:rPr>
        <w:t>arbitration</w:t>
      </w:r>
      <w:r w:rsidR="007907FB" w:rsidRPr="007907FB">
        <w:rPr>
          <w:rFonts w:ascii="Times New Roman" w:hAnsi="Times New Roman" w:cs="Times New Roman"/>
          <w:color w:val="212121"/>
          <w:sz w:val="24"/>
          <w:szCs w:val="24"/>
        </w:rPr>
        <w:t> award vacated must provide evidence of record that, not only was the correct </w:t>
      </w:r>
      <w:r w:rsidR="007907FB" w:rsidRPr="007907FB">
        <w:rPr>
          <w:rStyle w:val="cosearchterm"/>
          <w:rFonts w:ascii="Times New Roman" w:hAnsi="Times New Roman" w:cs="Times New Roman"/>
          <w:bCs/>
          <w:color w:val="252525"/>
          <w:sz w:val="24"/>
          <w:szCs w:val="24"/>
        </w:rPr>
        <w:t>law</w:t>
      </w:r>
      <w:r w:rsidR="007907FB" w:rsidRPr="007907FB">
        <w:rPr>
          <w:rFonts w:ascii="Times New Roman" w:hAnsi="Times New Roman" w:cs="Times New Roman"/>
          <w:color w:val="212121"/>
          <w:sz w:val="24"/>
          <w:szCs w:val="24"/>
        </w:rPr>
        <w:t> communicated to an arbitrator, but that the arbitrator intentionally and knowingly chose to ignore that </w:t>
      </w:r>
      <w:r w:rsidR="007907FB" w:rsidRPr="007907FB">
        <w:rPr>
          <w:rStyle w:val="cosearchterm"/>
          <w:rFonts w:ascii="Times New Roman" w:hAnsi="Times New Roman" w:cs="Times New Roman"/>
          <w:bCs/>
          <w:color w:val="252525"/>
          <w:sz w:val="24"/>
          <w:szCs w:val="24"/>
        </w:rPr>
        <w:t>law</w:t>
      </w:r>
      <w:r w:rsidR="007907FB" w:rsidRPr="007907FB">
        <w:rPr>
          <w:rFonts w:ascii="Times New Roman" w:hAnsi="Times New Roman" w:cs="Times New Roman"/>
          <w:color w:val="212121"/>
          <w:sz w:val="24"/>
          <w:szCs w:val="24"/>
        </w:rPr>
        <w:t> despite the fact that it was correct.”</w:t>
      </w:r>
      <w:r w:rsidR="00426056">
        <w:rPr>
          <w:rFonts w:ascii="Times New Roman" w:hAnsi="Times New Roman" w:cs="Times New Roman"/>
          <w:color w:val="212121"/>
          <w:sz w:val="24"/>
          <w:szCs w:val="24"/>
        </w:rPr>
        <w:t>).</w:t>
      </w:r>
    </w:p>
  </w:footnote>
  <w:footnote w:id="3">
    <w:p w:rsidR="000B013F" w:rsidRPr="000B013F" w:rsidRDefault="000B013F" w:rsidP="000B013F">
      <w:pPr>
        <w:pStyle w:val="FootnoteText"/>
        <w:spacing w:line="360" w:lineRule="auto"/>
        <w:rPr>
          <w:rFonts w:ascii="Times New Roman" w:hAnsi="Times New Roman" w:cs="Times New Roman"/>
          <w:sz w:val="24"/>
        </w:rPr>
      </w:pPr>
      <w:r>
        <w:rPr>
          <w:rStyle w:val="FootnoteReference"/>
        </w:rPr>
        <w:footnoteRef/>
      </w:r>
      <w:r>
        <w:t xml:space="preserve"> </w:t>
      </w:r>
      <w:r w:rsidR="00C0434D">
        <w:rPr>
          <w:rFonts w:ascii="Times New Roman" w:hAnsi="Times New Roman" w:cs="Times New Roman"/>
          <w:sz w:val="24"/>
        </w:rPr>
        <w:t>In most jurisdictions, t</w:t>
      </w:r>
      <w:r>
        <w:rPr>
          <w:rFonts w:ascii="Times New Roman" w:hAnsi="Times New Roman" w:cs="Times New Roman"/>
          <w:sz w:val="24"/>
        </w:rPr>
        <w:t xml:space="preserve">he arbitrator does not have the authority to compel non-parties to the arbitration agreement to be subject to pre-hearing discovery, including depositions and the production of documents.  </w:t>
      </w:r>
      <w:r>
        <w:rPr>
          <w:rFonts w:ascii="Times New Roman" w:hAnsi="Times New Roman" w:cs="Times New Roman"/>
          <w:i/>
          <w:sz w:val="24"/>
        </w:rPr>
        <w:t>Managed Care Advisory Group, LLC v. CIGNA Healthcare, Inc.</w:t>
      </w:r>
      <w:r>
        <w:rPr>
          <w:rFonts w:ascii="Times New Roman" w:hAnsi="Times New Roman" w:cs="Times New Roman"/>
          <w:sz w:val="24"/>
        </w:rPr>
        <w:t>, 939 F.3d 1145, 1159-60 (11th Cir. 2019).</w:t>
      </w:r>
    </w:p>
  </w:footnote>
  <w:footnote w:id="4">
    <w:p w:rsidR="004B7039" w:rsidRPr="004B7039" w:rsidRDefault="004B7039">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This case is significant because the </w:t>
      </w:r>
      <w:r w:rsidR="0011171A">
        <w:rPr>
          <w:rFonts w:ascii="Times New Roman" w:hAnsi="Times New Roman" w:cs="Times New Roman"/>
          <w:sz w:val="24"/>
          <w:szCs w:val="24"/>
        </w:rPr>
        <w:t xml:space="preserve">Georgia </w:t>
      </w:r>
      <w:r>
        <w:rPr>
          <w:rFonts w:ascii="Times New Roman" w:hAnsi="Times New Roman" w:cs="Times New Roman"/>
          <w:sz w:val="24"/>
          <w:szCs w:val="24"/>
        </w:rPr>
        <w:t xml:space="preserve">Supreme Court overruled its prior holding in </w:t>
      </w:r>
      <w:r>
        <w:rPr>
          <w:rFonts w:ascii="Times New Roman" w:hAnsi="Times New Roman" w:cs="Times New Roman"/>
          <w:i/>
          <w:sz w:val="24"/>
          <w:szCs w:val="24"/>
        </w:rPr>
        <w:t>Byers v. McGuire Properties, Inc.</w:t>
      </w:r>
      <w:r>
        <w:rPr>
          <w:rFonts w:ascii="Times New Roman" w:hAnsi="Times New Roman" w:cs="Times New Roman"/>
          <w:sz w:val="24"/>
          <w:szCs w:val="24"/>
        </w:rPr>
        <w:t>, 285 Ga. 530, 540 (2009), that a counterclaimant asserting an independent compulsory counterclaim could not seek attorney’s fees and litigation expenses under O.C.G.A. § 13-6-11.</w:t>
      </w:r>
    </w:p>
  </w:footnote>
  <w:footnote w:id="5">
    <w:p w:rsidR="00FF79F8" w:rsidRPr="00FF79F8" w:rsidRDefault="00FF79F8">
      <w:pPr>
        <w:pStyle w:val="FootnoteText"/>
      </w:pPr>
      <w:r>
        <w:rPr>
          <w:rStyle w:val="FootnoteReference"/>
        </w:rPr>
        <w:footnoteRef/>
      </w:r>
      <w:r>
        <w:t xml:space="preserve"> </w:t>
      </w:r>
      <w:r w:rsidRPr="00FF79F8">
        <w:rPr>
          <w:rFonts w:ascii="Times New Roman" w:hAnsi="Times New Roman" w:cs="Times New Roman"/>
          <w:color w:val="212121"/>
          <w:sz w:val="24"/>
          <w:szCs w:val="21"/>
        </w:rPr>
        <w:t>“Indicative of whether a party acts in good or bad faith in a given transaction is his abiding by or failing to comply with a public law made for the benefit of the opposite party, or enacted for the protection of the latter’s legal rights.”</w:t>
      </w:r>
      <w:r>
        <w:rPr>
          <w:rFonts w:ascii="Times New Roman" w:hAnsi="Times New Roman" w:cs="Times New Roman"/>
          <w:color w:val="212121"/>
          <w:sz w:val="24"/>
          <w:szCs w:val="21"/>
        </w:rPr>
        <w:t xml:space="preserve">  </w:t>
      </w:r>
      <w:r>
        <w:rPr>
          <w:rFonts w:ascii="Times New Roman" w:hAnsi="Times New Roman" w:cs="Times New Roman"/>
          <w:i/>
          <w:color w:val="212121"/>
          <w:sz w:val="24"/>
          <w:szCs w:val="21"/>
        </w:rPr>
        <w:t>Nash v. Reed</w:t>
      </w:r>
      <w:r>
        <w:rPr>
          <w:rFonts w:ascii="Times New Roman" w:hAnsi="Times New Roman" w:cs="Times New Roman"/>
          <w:color w:val="212121"/>
          <w:sz w:val="24"/>
          <w:szCs w:val="21"/>
        </w:rPr>
        <w:t xml:space="preserve">, 349 Ga. App. 381, 383 (2019) (quoting </w:t>
      </w:r>
      <w:r>
        <w:rPr>
          <w:rFonts w:ascii="Times New Roman" w:hAnsi="Times New Roman" w:cs="Times New Roman"/>
          <w:i/>
          <w:color w:val="212121"/>
          <w:sz w:val="24"/>
          <w:szCs w:val="21"/>
        </w:rPr>
        <w:t>Windermere, Ltd. v. Bettes</w:t>
      </w:r>
      <w:r>
        <w:rPr>
          <w:rFonts w:ascii="Times New Roman" w:hAnsi="Times New Roman" w:cs="Times New Roman"/>
          <w:color w:val="212121"/>
          <w:sz w:val="24"/>
          <w:szCs w:val="21"/>
        </w:rPr>
        <w:t>, 211 Ga. 177, 179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Default="00DD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Default="00DD0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46" w:rsidRDefault="00DD0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21"/>
    <w:rsid w:val="0000289E"/>
    <w:rsid w:val="00004EF8"/>
    <w:rsid w:val="000330A4"/>
    <w:rsid w:val="000405E8"/>
    <w:rsid w:val="00053DDD"/>
    <w:rsid w:val="00083A2F"/>
    <w:rsid w:val="00086482"/>
    <w:rsid w:val="000A1EAA"/>
    <w:rsid w:val="000B013F"/>
    <w:rsid w:val="000C048B"/>
    <w:rsid w:val="000F7FE8"/>
    <w:rsid w:val="0010339B"/>
    <w:rsid w:val="0010414C"/>
    <w:rsid w:val="0011171A"/>
    <w:rsid w:val="00122A21"/>
    <w:rsid w:val="00152C2E"/>
    <w:rsid w:val="0015732D"/>
    <w:rsid w:val="001B509D"/>
    <w:rsid w:val="001B63D9"/>
    <w:rsid w:val="001D7736"/>
    <w:rsid w:val="001E2E9D"/>
    <w:rsid w:val="001E3609"/>
    <w:rsid w:val="00203678"/>
    <w:rsid w:val="00204F38"/>
    <w:rsid w:val="002076D5"/>
    <w:rsid w:val="00236225"/>
    <w:rsid w:val="0025508A"/>
    <w:rsid w:val="00256F95"/>
    <w:rsid w:val="002774F6"/>
    <w:rsid w:val="002A6823"/>
    <w:rsid w:val="002C7086"/>
    <w:rsid w:val="003000B4"/>
    <w:rsid w:val="00307AB1"/>
    <w:rsid w:val="00323C54"/>
    <w:rsid w:val="00334B08"/>
    <w:rsid w:val="00334EEE"/>
    <w:rsid w:val="003402E9"/>
    <w:rsid w:val="00340ECA"/>
    <w:rsid w:val="00374322"/>
    <w:rsid w:val="0039041B"/>
    <w:rsid w:val="003A1008"/>
    <w:rsid w:val="003A4243"/>
    <w:rsid w:val="003B297C"/>
    <w:rsid w:val="003B78AB"/>
    <w:rsid w:val="003C1AA9"/>
    <w:rsid w:val="003D563E"/>
    <w:rsid w:val="00400131"/>
    <w:rsid w:val="00400862"/>
    <w:rsid w:val="00417E01"/>
    <w:rsid w:val="00420346"/>
    <w:rsid w:val="00426056"/>
    <w:rsid w:val="004300AC"/>
    <w:rsid w:val="004B7039"/>
    <w:rsid w:val="004C5447"/>
    <w:rsid w:val="004E2A75"/>
    <w:rsid w:val="004E7BBB"/>
    <w:rsid w:val="004F59A6"/>
    <w:rsid w:val="00531A2B"/>
    <w:rsid w:val="005358EF"/>
    <w:rsid w:val="00547F93"/>
    <w:rsid w:val="00555A91"/>
    <w:rsid w:val="00556E22"/>
    <w:rsid w:val="00571C31"/>
    <w:rsid w:val="0057280C"/>
    <w:rsid w:val="005A2656"/>
    <w:rsid w:val="005A41A7"/>
    <w:rsid w:val="005C2BDC"/>
    <w:rsid w:val="005D47FF"/>
    <w:rsid w:val="00623F79"/>
    <w:rsid w:val="00644208"/>
    <w:rsid w:val="00663526"/>
    <w:rsid w:val="00664474"/>
    <w:rsid w:val="00666C9E"/>
    <w:rsid w:val="00673BEE"/>
    <w:rsid w:val="006747ED"/>
    <w:rsid w:val="0068180A"/>
    <w:rsid w:val="006B0774"/>
    <w:rsid w:val="006B4639"/>
    <w:rsid w:val="006C205D"/>
    <w:rsid w:val="006E0994"/>
    <w:rsid w:val="006E4487"/>
    <w:rsid w:val="00722EBE"/>
    <w:rsid w:val="007235B5"/>
    <w:rsid w:val="007252CB"/>
    <w:rsid w:val="007345DA"/>
    <w:rsid w:val="007413AD"/>
    <w:rsid w:val="00743D6E"/>
    <w:rsid w:val="007474AC"/>
    <w:rsid w:val="00750B2D"/>
    <w:rsid w:val="00752BB3"/>
    <w:rsid w:val="00764D5F"/>
    <w:rsid w:val="007754A2"/>
    <w:rsid w:val="007907FB"/>
    <w:rsid w:val="007A0A0B"/>
    <w:rsid w:val="007B4474"/>
    <w:rsid w:val="007F7D3B"/>
    <w:rsid w:val="008114E8"/>
    <w:rsid w:val="00822C97"/>
    <w:rsid w:val="00825F2C"/>
    <w:rsid w:val="008278E8"/>
    <w:rsid w:val="00856F05"/>
    <w:rsid w:val="00864BA3"/>
    <w:rsid w:val="008663E5"/>
    <w:rsid w:val="00873E23"/>
    <w:rsid w:val="0088025D"/>
    <w:rsid w:val="008D3A47"/>
    <w:rsid w:val="008D6130"/>
    <w:rsid w:val="008F6577"/>
    <w:rsid w:val="00907640"/>
    <w:rsid w:val="00907F46"/>
    <w:rsid w:val="00912583"/>
    <w:rsid w:val="00913FAF"/>
    <w:rsid w:val="00926168"/>
    <w:rsid w:val="009673A0"/>
    <w:rsid w:val="00975FCF"/>
    <w:rsid w:val="009979FE"/>
    <w:rsid w:val="009A6F24"/>
    <w:rsid w:val="009A7431"/>
    <w:rsid w:val="009C4505"/>
    <w:rsid w:val="009D43CF"/>
    <w:rsid w:val="009D6EC7"/>
    <w:rsid w:val="009E1848"/>
    <w:rsid w:val="009E4D26"/>
    <w:rsid w:val="009F5F9D"/>
    <w:rsid w:val="009F7D6C"/>
    <w:rsid w:val="00A13DB1"/>
    <w:rsid w:val="00A208A1"/>
    <w:rsid w:val="00A2137B"/>
    <w:rsid w:val="00A233A9"/>
    <w:rsid w:val="00A25354"/>
    <w:rsid w:val="00A27D49"/>
    <w:rsid w:val="00A43E94"/>
    <w:rsid w:val="00A471D7"/>
    <w:rsid w:val="00A51C80"/>
    <w:rsid w:val="00A54660"/>
    <w:rsid w:val="00A5769A"/>
    <w:rsid w:val="00A77AA1"/>
    <w:rsid w:val="00A83221"/>
    <w:rsid w:val="00AC198C"/>
    <w:rsid w:val="00AF11AC"/>
    <w:rsid w:val="00AF238A"/>
    <w:rsid w:val="00B01117"/>
    <w:rsid w:val="00B04C74"/>
    <w:rsid w:val="00B20D75"/>
    <w:rsid w:val="00B31CA7"/>
    <w:rsid w:val="00B50C4C"/>
    <w:rsid w:val="00B764D9"/>
    <w:rsid w:val="00B87BBF"/>
    <w:rsid w:val="00B92B02"/>
    <w:rsid w:val="00B97372"/>
    <w:rsid w:val="00BA3874"/>
    <w:rsid w:val="00BB76D0"/>
    <w:rsid w:val="00BD06F1"/>
    <w:rsid w:val="00BD6CD6"/>
    <w:rsid w:val="00BE440C"/>
    <w:rsid w:val="00C0434D"/>
    <w:rsid w:val="00C05DDE"/>
    <w:rsid w:val="00C1296C"/>
    <w:rsid w:val="00C34729"/>
    <w:rsid w:val="00C57D2F"/>
    <w:rsid w:val="00C702BB"/>
    <w:rsid w:val="00C90FE2"/>
    <w:rsid w:val="00CA0D4B"/>
    <w:rsid w:val="00CB1B75"/>
    <w:rsid w:val="00CC193A"/>
    <w:rsid w:val="00CC19DB"/>
    <w:rsid w:val="00CD76CC"/>
    <w:rsid w:val="00CE76EC"/>
    <w:rsid w:val="00D02BA8"/>
    <w:rsid w:val="00D17327"/>
    <w:rsid w:val="00D17DC8"/>
    <w:rsid w:val="00D21BA6"/>
    <w:rsid w:val="00D23259"/>
    <w:rsid w:val="00D27D86"/>
    <w:rsid w:val="00D67878"/>
    <w:rsid w:val="00D7194A"/>
    <w:rsid w:val="00D85BB5"/>
    <w:rsid w:val="00D96F74"/>
    <w:rsid w:val="00DA367F"/>
    <w:rsid w:val="00DA6992"/>
    <w:rsid w:val="00DB43C9"/>
    <w:rsid w:val="00DB75CC"/>
    <w:rsid w:val="00DD0D46"/>
    <w:rsid w:val="00DD1D46"/>
    <w:rsid w:val="00E01227"/>
    <w:rsid w:val="00E04B5F"/>
    <w:rsid w:val="00E14D63"/>
    <w:rsid w:val="00E316FA"/>
    <w:rsid w:val="00E45E42"/>
    <w:rsid w:val="00E613B7"/>
    <w:rsid w:val="00E634E8"/>
    <w:rsid w:val="00E640E2"/>
    <w:rsid w:val="00E65DC4"/>
    <w:rsid w:val="00E720A0"/>
    <w:rsid w:val="00E83BD6"/>
    <w:rsid w:val="00E83D84"/>
    <w:rsid w:val="00E856B9"/>
    <w:rsid w:val="00EB2C80"/>
    <w:rsid w:val="00EC0E4D"/>
    <w:rsid w:val="00EF0F1B"/>
    <w:rsid w:val="00EF2C19"/>
    <w:rsid w:val="00EF3EF9"/>
    <w:rsid w:val="00EF7EC0"/>
    <w:rsid w:val="00F1005A"/>
    <w:rsid w:val="00F21ABA"/>
    <w:rsid w:val="00FB6A03"/>
    <w:rsid w:val="00FB75AF"/>
    <w:rsid w:val="00FC59A2"/>
    <w:rsid w:val="00FC6A2E"/>
    <w:rsid w:val="00FE37C1"/>
    <w:rsid w:val="00FE3E4C"/>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8263"/>
  <w15:chartTrackingRefBased/>
  <w15:docId w15:val="{CA3F011F-2F70-4FEB-A77B-BD485633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AC"/>
  </w:style>
  <w:style w:type="paragraph" w:styleId="Footer">
    <w:name w:val="footer"/>
    <w:basedOn w:val="Normal"/>
    <w:link w:val="FooterChar"/>
    <w:uiPriority w:val="99"/>
    <w:unhideWhenUsed/>
    <w:rsid w:val="0074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AC"/>
  </w:style>
  <w:style w:type="paragraph" w:styleId="ListParagraph">
    <w:name w:val="List Paragraph"/>
    <w:basedOn w:val="Normal"/>
    <w:uiPriority w:val="34"/>
    <w:qFormat/>
    <w:rsid w:val="00A27D49"/>
    <w:pPr>
      <w:ind w:left="720"/>
      <w:contextualSpacing/>
    </w:pPr>
  </w:style>
  <w:style w:type="character" w:styleId="Hyperlink">
    <w:name w:val="Hyperlink"/>
    <w:basedOn w:val="DefaultParagraphFont"/>
    <w:uiPriority w:val="99"/>
    <w:semiHidden/>
    <w:unhideWhenUsed/>
    <w:rsid w:val="00A51C80"/>
    <w:rPr>
      <w:color w:val="0000FF"/>
      <w:u w:val="single"/>
    </w:rPr>
  </w:style>
  <w:style w:type="paragraph" w:styleId="FootnoteText">
    <w:name w:val="footnote text"/>
    <w:basedOn w:val="Normal"/>
    <w:link w:val="FootnoteTextChar"/>
    <w:uiPriority w:val="99"/>
    <w:semiHidden/>
    <w:unhideWhenUsed/>
    <w:rsid w:val="00390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41B"/>
    <w:rPr>
      <w:sz w:val="20"/>
      <w:szCs w:val="20"/>
    </w:rPr>
  </w:style>
  <w:style w:type="character" w:styleId="FootnoteReference">
    <w:name w:val="footnote reference"/>
    <w:basedOn w:val="DefaultParagraphFont"/>
    <w:uiPriority w:val="99"/>
    <w:semiHidden/>
    <w:unhideWhenUsed/>
    <w:rsid w:val="0039041B"/>
    <w:rPr>
      <w:vertAlign w:val="superscript"/>
    </w:rPr>
  </w:style>
  <w:style w:type="character" w:styleId="Emphasis">
    <w:name w:val="Emphasis"/>
    <w:basedOn w:val="DefaultParagraphFont"/>
    <w:uiPriority w:val="20"/>
    <w:qFormat/>
    <w:rsid w:val="00BD6CD6"/>
    <w:rPr>
      <w:i/>
      <w:iCs/>
    </w:rPr>
  </w:style>
  <w:style w:type="character" w:customStyle="1" w:styleId="costarpage">
    <w:name w:val="co_starpage"/>
    <w:basedOn w:val="DefaultParagraphFont"/>
    <w:rsid w:val="00E856B9"/>
  </w:style>
  <w:style w:type="paragraph" w:styleId="BalloonText">
    <w:name w:val="Balloon Text"/>
    <w:basedOn w:val="Normal"/>
    <w:link w:val="BalloonTextChar"/>
    <w:uiPriority w:val="99"/>
    <w:semiHidden/>
    <w:unhideWhenUsed/>
    <w:rsid w:val="00A2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54"/>
    <w:rPr>
      <w:rFonts w:ascii="Segoe UI" w:hAnsi="Segoe UI" w:cs="Segoe UI"/>
      <w:sz w:val="18"/>
      <w:szCs w:val="18"/>
    </w:rPr>
  </w:style>
  <w:style w:type="character" w:customStyle="1" w:styleId="cosearchterm">
    <w:name w:val="co_searchterm"/>
    <w:basedOn w:val="DefaultParagraphFont"/>
    <w:rsid w:val="0079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427626586">
      <w:bodyDiv w:val="1"/>
      <w:marLeft w:val="0"/>
      <w:marRight w:val="0"/>
      <w:marTop w:val="0"/>
      <w:marBottom w:val="0"/>
      <w:divBdr>
        <w:top w:val="none" w:sz="0" w:space="0" w:color="auto"/>
        <w:left w:val="none" w:sz="0" w:space="0" w:color="auto"/>
        <w:bottom w:val="none" w:sz="0" w:space="0" w:color="auto"/>
        <w:right w:val="none" w:sz="0" w:space="0" w:color="auto"/>
      </w:divBdr>
    </w:div>
    <w:div w:id="827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9753074">
          <w:marLeft w:val="0"/>
          <w:marRight w:val="0"/>
          <w:marTop w:val="24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
          </w:divsChild>
        </w:div>
        <w:div w:id="650795071">
          <w:marLeft w:val="0"/>
          <w:marRight w:val="0"/>
          <w:marTop w:val="240"/>
          <w:marBottom w:val="0"/>
          <w:divBdr>
            <w:top w:val="none" w:sz="0" w:space="0" w:color="auto"/>
            <w:left w:val="none" w:sz="0" w:space="0" w:color="auto"/>
            <w:bottom w:val="none" w:sz="0" w:space="0" w:color="auto"/>
            <w:right w:val="none" w:sz="0" w:space="0" w:color="auto"/>
          </w:divBdr>
          <w:divsChild>
            <w:div w:id="999163145">
              <w:marLeft w:val="0"/>
              <w:marRight w:val="0"/>
              <w:marTop w:val="0"/>
              <w:marBottom w:val="0"/>
              <w:divBdr>
                <w:top w:val="none" w:sz="0" w:space="0" w:color="auto"/>
                <w:left w:val="none" w:sz="0" w:space="0" w:color="auto"/>
                <w:bottom w:val="none" w:sz="0" w:space="0" w:color="auto"/>
                <w:right w:val="none" w:sz="0" w:space="0" w:color="auto"/>
              </w:divBdr>
            </w:div>
          </w:divsChild>
        </w:div>
        <w:div w:id="489296798">
          <w:marLeft w:val="0"/>
          <w:marRight w:val="0"/>
          <w:marTop w:val="240"/>
          <w:marBottom w:val="0"/>
          <w:divBdr>
            <w:top w:val="none" w:sz="0" w:space="0" w:color="auto"/>
            <w:left w:val="none" w:sz="0" w:space="0" w:color="auto"/>
            <w:bottom w:val="none" w:sz="0" w:space="0" w:color="auto"/>
            <w:right w:val="none" w:sz="0" w:space="0" w:color="auto"/>
          </w:divBdr>
          <w:divsChild>
            <w:div w:id="378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999">
      <w:bodyDiv w:val="1"/>
      <w:marLeft w:val="0"/>
      <w:marRight w:val="0"/>
      <w:marTop w:val="0"/>
      <w:marBottom w:val="0"/>
      <w:divBdr>
        <w:top w:val="none" w:sz="0" w:space="0" w:color="auto"/>
        <w:left w:val="none" w:sz="0" w:space="0" w:color="auto"/>
        <w:bottom w:val="none" w:sz="0" w:space="0" w:color="auto"/>
        <w:right w:val="none" w:sz="0" w:space="0" w:color="auto"/>
      </w:divBdr>
    </w:div>
    <w:div w:id="1359546820">
      <w:bodyDiv w:val="1"/>
      <w:marLeft w:val="0"/>
      <w:marRight w:val="0"/>
      <w:marTop w:val="0"/>
      <w:marBottom w:val="0"/>
      <w:divBdr>
        <w:top w:val="none" w:sz="0" w:space="0" w:color="auto"/>
        <w:left w:val="none" w:sz="0" w:space="0" w:color="auto"/>
        <w:bottom w:val="none" w:sz="0" w:space="0" w:color="auto"/>
        <w:right w:val="none" w:sz="0" w:space="0" w:color="auto"/>
      </w:divBdr>
    </w:div>
    <w:div w:id="16304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2362</TotalTime>
  <Pages>40</Pages>
  <Words>14418</Words>
  <Characters>74491</Characters>
  <Application>Microsoft Office Word</Application>
  <DocSecurity>0</DocSecurity>
  <PresentationFormat/>
  <Lines>1105</Lines>
  <Paragraphs>131</Paragraphs>
  <ScaleCrop>false</ScaleCrop>
  <HeadingPairs>
    <vt:vector size="2" baseType="variant">
      <vt:variant>
        <vt:lpstr>Title</vt:lpstr>
      </vt:variant>
      <vt:variant>
        <vt:i4>1</vt:i4>
      </vt:variant>
    </vt:vector>
  </HeadingPairs>
  <TitlesOfParts>
    <vt:vector size="1" baseType="lpstr">
      <vt:lpstr>Contract dispute issues-remedies CLE (00428243;2).DOCX</vt:lpstr>
    </vt:vector>
  </TitlesOfParts>
  <Company/>
  <LinksUpToDate>false</LinksUpToDate>
  <CharactersWithSpaces>89265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dispute issues/remedies CLE (00428243-2).DOCX</dc:title>
  <dc:subject>00428243.DOCX /2 /Font=8</dc:subject>
  <dc:creator>Troy Covington</dc:creator>
  <cp:keywords/>
  <dc:description/>
  <cp:lastModifiedBy>Troy Covington</cp:lastModifiedBy>
  <cp:revision>108</cp:revision>
  <cp:lastPrinted>2018-09-25T18:58:00Z</cp:lastPrinted>
  <dcterms:created xsi:type="dcterms:W3CDTF">2018-08-29T14:25:00Z</dcterms:created>
  <dcterms:modified xsi:type="dcterms:W3CDTF">2020-07-03T15:09:00Z</dcterms:modified>
</cp:coreProperties>
</file>